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3"/>
        <w:shd w:val="clear" w:color="auto" w:fill="auto"/>
        <w:rPr>
          <w:color w:val="000000"/>
          <w:sz w:val="24"/>
          <w:szCs w:val="24"/>
          <w:shd w:val="clear" w:fill="FFFFFF" w:color="FFFFFF"/>
        </w:rPr>
      </w:pPr>
      <w:r>
        <w:rPr>
          <w:color w:val="000000"/>
          <w:sz w:val="24"/>
          <w:szCs w:val="24"/>
          <w:shd w:val="clear" w:fill="FFFFFF" w:color="FFFFFF"/>
        </w:rPr>
        <w:t xml:space="preserve">БЕ 2070</w:t>
      </w:r>
      <w:r/>
    </w:p>
    <w:p>
      <w:pPr>
        <w:pStyle w:val="833"/>
        <w:rPr>
          <w:b/>
          <w:color w:val="000000"/>
          <w:sz w:val="24"/>
          <w:szCs w:val="24"/>
          <w:shd w:val="clear" w:fill="FFFFFF" w:color="FFFFFF"/>
        </w:rPr>
      </w:pPr>
      <w:r>
        <w:rPr>
          <w:color w:val="000000"/>
          <w:sz w:val="24"/>
          <w:szCs w:val="24"/>
          <w:shd w:val="clear" w:fill="FFFFFF" w:color="FFFFFF"/>
        </w:rPr>
        <w:t xml:space="preserve">№</w:t>
      </w:r>
      <w:r>
        <w:rPr>
          <w:b/>
          <w:color w:val="000000"/>
          <w:sz w:val="24"/>
          <w:szCs w:val="24"/>
          <w:shd w:val="clear" w:fill="FFFFFF" w:color="FFFFFF"/>
        </w:rPr>
        <w:t xml:space="preserve">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082-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0035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232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pStyle w:val="833"/>
        <w:jc w:val="center"/>
        <w:keepLines/>
        <w:keepNext/>
        <w:shd w:val="clear" w:color="auto" w:fill="auto"/>
        <w:rPr>
          <w:rStyle w:val="829"/>
          <w:b/>
          <w:bCs/>
          <w:color w:val="000000"/>
          <w:sz w:val="24"/>
          <w:szCs w:val="24"/>
        </w:rPr>
      </w:pPr>
      <w:r>
        <w:rPr>
          <w:rStyle w:val="829"/>
          <w:b/>
          <w:bCs/>
          <w:color w:val="000000"/>
          <w:sz w:val="24"/>
          <w:szCs w:val="24"/>
        </w:rPr>
        <w:t xml:space="preserve">ТЕХНИЧЕСКОЕ ЗАДАНИЕ</w:t>
      </w:r>
      <w:r/>
    </w:p>
    <w:p>
      <w:pPr>
        <w:pStyle w:val="833"/>
        <w:jc w:val="center"/>
        <w:keepLines/>
        <w:keepNext/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ind w:left="10" w:right="53" w:firstLine="701"/>
        <w:jc w:val="center"/>
        <w:spacing w:lineRule="exact" w:line="269" w:after="0"/>
        <w:shd w:val="clear" w:fill="FFFFFF" w:color="FFFFFF"/>
        <w:widowControl w:val="off"/>
        <w:rPr>
          <w:rStyle w:val="830"/>
          <w:color w:val="000000"/>
          <w:sz w:val="24"/>
          <w:szCs w:val="24"/>
        </w:rPr>
      </w:pPr>
      <w:r>
        <w:rPr>
          <w:rStyle w:val="830"/>
          <w:color w:val="000000"/>
          <w:sz w:val="24"/>
          <w:szCs w:val="24"/>
        </w:rPr>
      </w:r>
      <w:r>
        <w:rPr>
          <w:rStyle w:val="830"/>
          <w:color w:val="000000"/>
          <w:sz w:val="24"/>
          <w:szCs w:val="24"/>
        </w:rPr>
        <w:t xml:space="preserve">Техническое обслуживание КСПД АБК-2 ЮЭС - филиала ПАО «Россети Московский регион» в 2026г. инв.№: 032-10160</w:t>
      </w:r>
      <w:r>
        <w:rPr>
          <w:rStyle w:val="830"/>
          <w:color w:val="000000"/>
          <w:sz w:val="24"/>
          <w:szCs w:val="24"/>
        </w:rPr>
      </w:r>
      <w:r/>
    </w:p>
    <w:p>
      <w:pPr>
        <w:ind w:left="10" w:right="53" w:firstLine="701"/>
        <w:jc w:val="both"/>
        <w:spacing w:lineRule="exact" w:line="269" w:after="0"/>
        <w:shd w:val="clear" w:fill="FFFFFF" w:color="FFFFFF"/>
        <w:widowControl w:val="off"/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Максимальная (начальная) стоимость лота – </w:t>
      </w: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4</w:t>
      </w: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03 046,26 </w:t>
      </w: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руб. без НДС; </w:t>
      </w:r>
      <w:r/>
    </w:p>
    <w:p>
      <w:pPr>
        <w:ind w:left="10" w:right="53" w:firstLine="701"/>
        <w:jc w:val="center"/>
        <w:spacing w:lineRule="exact" w:line="269" w:after="0"/>
        <w:shd w:val="clear" w:fill="FFFFFF" w:color="FFFFFF"/>
        <w:widowControl w:val="off"/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491 716,44 </w:t>
      </w: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руб. с НДС.</w:t>
      </w:r>
      <w:r/>
    </w:p>
    <w:p>
      <w:pPr>
        <w:ind w:left="10" w:right="53" w:firstLine="701"/>
        <w:jc w:val="center"/>
        <w:spacing w:lineRule="exact" w:line="269" w:after="0"/>
        <w:shd w:val="clear" w:fill="FFFFFF" w:color="FFFFFF"/>
        <w:widowControl w:val="off"/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Ставка НДС 22</w:t>
      </w: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% - </w:t>
      </w: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88 670,18</w:t>
      </w: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руб.</w:t>
      </w:r>
      <w:r/>
    </w:p>
    <w:p>
      <w:pPr>
        <w:ind w:left="10" w:right="53" w:firstLine="701"/>
        <w:jc w:val="center"/>
        <w:spacing w:lineRule="exact" w:line="269" w:after="0"/>
        <w:shd w:val="clear" w:fill="FFFFFF" w:color="FFFFFF"/>
        <w:widowControl w:val="off"/>
        <w:rPr>
          <w:rFonts w:ascii="Times New Roman" w:hAnsi="Times New Roman" w:cs="Times New Roman" w:eastAsia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  <w:t xml:space="preserve">Авансирование не предусмотрено.</w:t>
      </w:r>
      <w:r/>
    </w:p>
    <w:p>
      <w:pPr>
        <w:pStyle w:val="834"/>
        <w:ind w:firstLine="360"/>
        <w:jc w:val="left"/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833"/>
        <w:numPr>
          <w:ilvl w:val="0"/>
          <w:numId w:val="1"/>
        </w:numPr>
        <w:ind w:firstLine="360"/>
        <w:keepLines/>
        <w:keepNext/>
        <w:spacing w:lineRule="exact" w:line="278"/>
        <w:shd w:val="clear" w:color="auto" w:fill="auto"/>
        <w:rPr>
          <w:rStyle w:val="829"/>
          <w:b/>
          <w:bCs/>
          <w:sz w:val="24"/>
          <w:szCs w:val="24"/>
          <w:shd w:val="clear" w:color="auto" w:fill="auto"/>
        </w:rPr>
      </w:pPr>
      <w:r/>
      <w:bookmarkStart w:id="0" w:name="bookmark1"/>
      <w:r>
        <w:rPr>
          <w:rStyle w:val="829"/>
          <w:b/>
          <w:bCs/>
          <w:color w:val="000000"/>
          <w:sz w:val="24"/>
          <w:szCs w:val="24"/>
        </w:rPr>
        <w:t xml:space="preserve">Описание основных объемов </w:t>
      </w:r>
      <w:r>
        <w:rPr>
          <w:rStyle w:val="829"/>
          <w:b/>
          <w:bCs/>
          <w:color w:val="000000"/>
          <w:sz w:val="24"/>
          <w:szCs w:val="24"/>
        </w:rPr>
        <w:t xml:space="preserve">услуг</w:t>
      </w:r>
      <w:r>
        <w:rPr>
          <w:rStyle w:val="829"/>
          <w:b/>
          <w:bCs/>
          <w:color w:val="000000"/>
          <w:sz w:val="24"/>
          <w:szCs w:val="24"/>
        </w:rPr>
        <w:t xml:space="preserve">.</w:t>
      </w:r>
      <w:bookmarkEnd w:id="0"/>
      <w:r/>
      <w:r/>
    </w:p>
    <w:p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Предметом проведения конкурентных процедур по выбору победителя является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оказание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услуг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техническому обслуживанию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КСПД АБК-2 ЮЭС - филиала ПАО «Россети Московский регион» в 2026г. инв.№: 032-10160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</w:t>
      </w:r>
      <w:r/>
    </w:p>
    <w:p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Общая стоимость услуг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не является предметом конкурентных процедур и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формируется в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пределах срока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оказания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услуг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от объёмов их фактического выполнения.</w:t>
      </w:r>
      <w:r/>
    </w:p>
    <w:p>
      <w:pPr>
        <w:pStyle w:val="843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Стоимость работ в 2026</w:t>
      </w:r>
      <w:r>
        <w:rPr>
          <w:rFonts w:ascii="Times New Roman" w:hAnsi="Times New Roman"/>
          <w:sz w:val="24"/>
          <w:szCs w:val="24"/>
        </w:rPr>
        <w:t xml:space="preserve"> г. определяется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 использованием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сметных норм </w:t>
      </w:r>
      <w:r>
        <w:rPr>
          <w:rFonts w:ascii="Times New Roman" w:hAnsi="Times New Roman"/>
          <w:sz w:val="24"/>
          <w:szCs w:val="24"/>
        </w:rPr>
        <w:t xml:space="preserve">расценок</w:t>
      </w:r>
      <w:r>
        <w:rPr>
          <w:rFonts w:ascii="Times New Roman" w:hAnsi="Times New Roman"/>
          <w:sz w:val="24"/>
          <w:szCs w:val="24"/>
        </w:rPr>
        <w:t xml:space="preserve"> ВУ</w:t>
      </w:r>
      <w:r>
        <w:rPr>
          <w:rFonts w:ascii="Times New Roman" w:hAnsi="Times New Roman"/>
          <w:sz w:val="24"/>
          <w:szCs w:val="24"/>
        </w:rPr>
        <w:t xml:space="preserve">ЕР ПАО «</w:t>
      </w:r>
      <w:r>
        <w:rPr>
          <w:rFonts w:ascii="Times New Roman" w:hAnsi="Times New Roman"/>
          <w:sz w:val="24"/>
          <w:szCs w:val="24"/>
        </w:rPr>
        <w:t xml:space="preserve">Россети</w:t>
      </w:r>
      <w:r>
        <w:rPr>
          <w:rFonts w:ascii="Times New Roman" w:hAnsi="Times New Roman"/>
          <w:sz w:val="24"/>
          <w:szCs w:val="24"/>
        </w:rPr>
        <w:t xml:space="preserve">» в редакции 2023</w:t>
      </w:r>
      <w:r>
        <w:rPr>
          <w:rFonts w:ascii="Times New Roman" w:hAnsi="Times New Roman"/>
          <w:sz w:val="24"/>
          <w:szCs w:val="24"/>
        </w:rPr>
        <w:t xml:space="preserve"> г. (в ценах по состоянию на 01.01.2020 г.) с применением индексов пересчета: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</w:t>
      </w:r>
      <w:r>
        <w:rPr>
          <w:rFonts w:ascii="Times New Roman" w:hAnsi="Times New Roman" w:cs="Times New Roman"/>
          <w:sz w:val="24"/>
          <w:szCs w:val="24"/>
        </w:rPr>
        <w:t xml:space="preserve"> заработной плате (</w:t>
      </w:r>
      <w:r>
        <w:rPr>
          <w:rFonts w:ascii="Times New Roman" w:hAnsi="Times New Roman" w:cs="Times New Roman"/>
          <w:sz w:val="24"/>
          <w:szCs w:val="24"/>
        </w:rPr>
        <w:t xml:space="preserve">Iзп</w:t>
      </w:r>
      <w:r>
        <w:rPr>
          <w:rFonts w:ascii="Times New Roman" w:hAnsi="Times New Roman" w:cs="Times New Roman"/>
          <w:sz w:val="24"/>
          <w:szCs w:val="24"/>
        </w:rPr>
        <w:t xml:space="preserve">) – 1,5829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/>
    </w:p>
    <w:p>
      <w:pPr>
        <w:pStyle w:val="838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к стоимости затрат на эксплуатацию машин и </w:t>
      </w:r>
      <w:r>
        <w:rPr>
          <w:rFonts w:ascii="Times New Roman" w:hAnsi="Times New Roman" w:cs="Times New Roman"/>
          <w:sz w:val="24"/>
          <w:szCs w:val="24"/>
        </w:rPr>
        <w:t xml:space="preserve">спецмеханизмов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</w:t>
      </w:r>
      <w:r>
        <w:rPr>
          <w:rFonts w:ascii="Times New Roman" w:hAnsi="Times New Roman" w:cs="Times New Roman"/>
          <w:sz w:val="24"/>
          <w:szCs w:val="24"/>
        </w:rPr>
        <w:t xml:space="preserve">пп</w:t>
      </w:r>
      <w:r>
        <w:rPr>
          <w:rFonts w:ascii="Times New Roman" w:hAnsi="Times New Roman" w:cs="Times New Roman"/>
          <w:sz w:val="24"/>
          <w:szCs w:val="24"/>
        </w:rPr>
        <w:t xml:space="preserve">) – 1,5277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/>
    </w:p>
    <w:p>
      <w:pPr>
        <w:pStyle w:val="839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-к затратам на вспомогательные м</w:t>
      </w:r>
      <w:r>
        <w:rPr>
          <w:sz w:val="24"/>
          <w:szCs w:val="24"/>
        </w:rPr>
        <w:t xml:space="preserve">атериалы и изделия (</w:t>
      </w:r>
      <w:r>
        <w:rPr>
          <w:sz w:val="24"/>
          <w:szCs w:val="24"/>
        </w:rPr>
        <w:t xml:space="preserve">I</w:t>
      </w:r>
      <w:r>
        <w:rPr>
          <w:sz w:val="24"/>
          <w:szCs w:val="24"/>
        </w:rPr>
        <w:t xml:space="preserve">п.п</w:t>
      </w:r>
      <w:r>
        <w:rPr>
          <w:sz w:val="24"/>
          <w:szCs w:val="24"/>
        </w:rPr>
        <w:t xml:space="preserve">)-1,5277</w:t>
      </w:r>
      <w:r>
        <w:rPr>
          <w:sz w:val="24"/>
          <w:szCs w:val="24"/>
        </w:rPr>
        <w:t xml:space="preserve">.</w:t>
      </w:r>
      <w:r/>
    </w:p>
    <w:p>
      <w:pPr>
        <w:pStyle w:val="839"/>
        <w:ind w:right="-20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Авансирование не предусмотрено.</w:t>
      </w:r>
      <w:r/>
    </w:p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/>
      <w:bookmarkStart w:id="1" w:name="bookmark2"/>
      <w:r>
        <w:rPr>
          <w:rFonts w:ascii="Times New Roman" w:hAnsi="Times New Roman" w:cs="Times New Roman"/>
          <w:sz w:val="24"/>
          <w:szCs w:val="24"/>
        </w:rPr>
        <w:t xml:space="preserve">Перечень основных видов </w:t>
      </w:r>
      <w:r>
        <w:rPr>
          <w:rFonts w:ascii="Times New Roman" w:hAnsi="Times New Roman" w:cs="Times New Roman"/>
          <w:sz w:val="24"/>
          <w:szCs w:val="24"/>
        </w:rPr>
        <w:t xml:space="preserve">услуг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 xml:space="preserve">техническому обслуживанию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КСПД АБК-2 ЮЭС - филиала ПАО «Россети Московский регион» в 2026г. инв.№: 032-10160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 отражением м</w:t>
      </w:r>
      <w:r>
        <w:rPr>
          <w:rFonts w:ascii="Times New Roman" w:hAnsi="Times New Roman" w:cs="Times New Roman"/>
          <w:sz w:val="24"/>
          <w:szCs w:val="24"/>
        </w:rPr>
        <w:t xml:space="preserve">аксимально возможного их объема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рамках данного лота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указан в </w:t>
      </w:r>
      <w:r>
        <w:rPr>
          <w:rFonts w:ascii="Times New Roman" w:hAnsi="Times New Roman" w:cs="Times New Roman"/>
          <w:b/>
          <w:sz w:val="24"/>
          <w:szCs w:val="24"/>
        </w:rPr>
        <w:t xml:space="preserve">ведом</w:t>
      </w:r>
      <w:r>
        <w:rPr>
          <w:rFonts w:ascii="Times New Roman" w:hAnsi="Times New Roman" w:cs="Times New Roman"/>
          <w:b/>
          <w:sz w:val="24"/>
          <w:szCs w:val="24"/>
        </w:rPr>
        <w:t xml:space="preserve">ости объемов услуг (Приложение 1</w:t>
      </w:r>
      <w:r>
        <w:rPr>
          <w:rFonts w:ascii="Times New Roman" w:hAnsi="Times New Roman" w:cs="Times New Roman"/>
          <w:b/>
          <w:sz w:val="24"/>
          <w:szCs w:val="24"/>
        </w:rPr>
        <w:t xml:space="preserve">) и в перечне оборудования, подлежащего техничес</w:t>
      </w:r>
      <w:r>
        <w:rPr>
          <w:rFonts w:ascii="Times New Roman" w:hAnsi="Times New Roman" w:cs="Times New Roman"/>
          <w:b/>
          <w:sz w:val="24"/>
          <w:szCs w:val="24"/>
        </w:rPr>
        <w:t xml:space="preserve">кому обслуживанию (Приложение №2</w:t>
      </w:r>
      <w:r>
        <w:rPr>
          <w:rFonts w:ascii="Times New Roman" w:hAnsi="Times New Roman" w:cs="Times New Roman"/>
          <w:b/>
          <w:sz w:val="24"/>
          <w:szCs w:val="24"/>
        </w:rPr>
        <w:t xml:space="preserve">).</w:t>
      </w:r>
      <w:r/>
    </w:p>
    <w:p>
      <w:pPr>
        <w:pStyle w:val="833"/>
        <w:numPr>
          <w:ilvl w:val="0"/>
          <w:numId w:val="1"/>
        </w:numPr>
        <w:ind w:firstLine="360"/>
        <w:keepLines/>
        <w:keepNext/>
        <w:spacing w:lineRule="exact" w:line="278"/>
        <w:shd w:val="clear" w:color="auto" w:fill="auto"/>
        <w:tabs>
          <w:tab w:val="left" w:pos="567" w:leader="none"/>
        </w:tabs>
        <w:rPr>
          <w:sz w:val="24"/>
          <w:szCs w:val="24"/>
        </w:rPr>
      </w:pPr>
      <w:r>
        <w:rPr>
          <w:rStyle w:val="829"/>
          <w:b/>
          <w:bCs/>
          <w:color w:val="000000"/>
          <w:sz w:val="24"/>
          <w:szCs w:val="24"/>
        </w:rPr>
        <w:t xml:space="preserve">Основные технические требования на обслуживание.</w:t>
      </w:r>
      <w:bookmarkEnd w:id="1"/>
      <w:r/>
      <w:r/>
    </w:p>
    <w:p>
      <w:pPr>
        <w:pStyle w:val="832"/>
        <w:ind w:firstLine="360"/>
        <w:spacing w:lineRule="exact" w:line="278"/>
        <w:shd w:val="clear" w:color="auto" w:fill="auto"/>
        <w:rPr>
          <w:sz w:val="24"/>
          <w:szCs w:val="24"/>
        </w:rPr>
      </w:pPr>
      <w:r>
        <w:rPr>
          <w:rStyle w:val="828"/>
          <w:color w:val="000000"/>
          <w:sz w:val="24"/>
          <w:szCs w:val="24"/>
        </w:rPr>
        <w:t xml:space="preserve">Техническое обслуживание должно быть </w:t>
      </w:r>
      <w:r>
        <w:rPr>
          <w:rStyle w:val="828"/>
          <w:color w:val="000000"/>
          <w:sz w:val="24"/>
          <w:szCs w:val="24"/>
        </w:rPr>
        <w:t xml:space="preserve">оказано</w:t>
      </w:r>
      <w:r>
        <w:rPr>
          <w:rStyle w:val="828"/>
          <w:color w:val="000000"/>
          <w:sz w:val="24"/>
          <w:szCs w:val="24"/>
        </w:rPr>
        <w:t xml:space="preserve"> в соответствии:</w:t>
      </w:r>
      <w:r/>
    </w:p>
    <w:p>
      <w:pPr>
        <w:pStyle w:val="832"/>
        <w:ind w:firstLine="426"/>
        <w:spacing w:lineRule="exact" w:line="278"/>
        <w:rPr>
          <w:rStyle w:val="828"/>
          <w:color w:val="000000"/>
          <w:sz w:val="24"/>
          <w:szCs w:val="24"/>
        </w:rPr>
      </w:pPr>
      <w:r>
        <w:rPr>
          <w:rStyle w:val="828"/>
          <w:color w:val="000000"/>
          <w:sz w:val="24"/>
          <w:szCs w:val="24"/>
        </w:rPr>
        <w:t xml:space="preserve"> •</w:t>
      </w:r>
      <w:r>
        <w:rPr>
          <w:rStyle w:val="828"/>
          <w:color w:val="000000"/>
          <w:sz w:val="24"/>
          <w:szCs w:val="24"/>
        </w:rPr>
        <w:tab/>
        <w:t xml:space="preserve">ПОТЭЭ «Правила по охране труда при эксплуатации электроустановок»;</w:t>
      </w:r>
      <w:r/>
    </w:p>
    <w:p>
      <w:pPr>
        <w:pStyle w:val="832"/>
        <w:ind w:firstLine="426"/>
        <w:spacing w:lineRule="exact" w:line="278"/>
        <w:rPr>
          <w:rStyle w:val="828"/>
          <w:color w:val="000000"/>
          <w:sz w:val="24"/>
          <w:szCs w:val="24"/>
        </w:rPr>
      </w:pPr>
      <w:r>
        <w:rPr>
          <w:rStyle w:val="828"/>
          <w:color w:val="000000"/>
          <w:sz w:val="24"/>
          <w:szCs w:val="24"/>
        </w:rPr>
        <w:t xml:space="preserve">•</w:t>
      </w:r>
      <w:r>
        <w:rPr>
          <w:rStyle w:val="828"/>
          <w:color w:val="000000"/>
          <w:sz w:val="24"/>
          <w:szCs w:val="24"/>
        </w:rPr>
        <w:tab/>
        <w:t xml:space="preserve">ПУЭ «Правила устройства электроустановок»;</w:t>
      </w:r>
      <w:r/>
    </w:p>
    <w:p>
      <w:pPr>
        <w:pStyle w:val="832"/>
        <w:ind w:firstLine="426"/>
        <w:spacing w:lineRule="exact" w:line="278"/>
        <w:rPr>
          <w:rStyle w:val="828"/>
          <w:color w:val="000000"/>
          <w:sz w:val="24"/>
          <w:szCs w:val="24"/>
        </w:rPr>
      </w:pPr>
      <w:r>
        <w:rPr>
          <w:rStyle w:val="828"/>
          <w:color w:val="000000"/>
          <w:sz w:val="24"/>
          <w:szCs w:val="24"/>
        </w:rPr>
        <w:t xml:space="preserve">•</w:t>
      </w:r>
      <w:r>
        <w:rPr>
          <w:rStyle w:val="828"/>
          <w:color w:val="000000"/>
          <w:sz w:val="24"/>
          <w:szCs w:val="24"/>
        </w:rPr>
        <w:tab/>
        <w:t xml:space="preserve">Правила технической эксплуатации электрических станций и сетей Российской Федерации (ПТЭ):</w:t>
      </w:r>
      <w:r/>
    </w:p>
    <w:p>
      <w:pPr>
        <w:pStyle w:val="832"/>
        <w:ind w:firstLine="426"/>
        <w:spacing w:lineRule="exact" w:line="278"/>
        <w:rPr>
          <w:rStyle w:val="828"/>
          <w:color w:val="000000"/>
          <w:sz w:val="24"/>
          <w:szCs w:val="24"/>
        </w:rPr>
      </w:pPr>
      <w:r>
        <w:rPr>
          <w:rStyle w:val="828"/>
          <w:color w:val="000000"/>
          <w:sz w:val="24"/>
          <w:szCs w:val="24"/>
        </w:rPr>
        <w:t xml:space="preserve">•</w:t>
      </w:r>
      <w:r>
        <w:rPr>
          <w:rStyle w:val="828"/>
          <w:color w:val="000000"/>
          <w:sz w:val="24"/>
          <w:szCs w:val="24"/>
        </w:rPr>
        <w:tab/>
        <w:t xml:space="preserve">СТО 34.01-27.1-001-2014 (ВППБ 27-14) «Правила пожарной безопасности в электросетевом комплексе ПАО «</w:t>
      </w:r>
      <w:r>
        <w:rPr>
          <w:rStyle w:val="828"/>
          <w:color w:val="000000"/>
          <w:sz w:val="24"/>
          <w:szCs w:val="24"/>
        </w:rPr>
        <w:t xml:space="preserve">Россети</w:t>
      </w:r>
      <w:r>
        <w:rPr>
          <w:rStyle w:val="828"/>
          <w:color w:val="000000"/>
          <w:sz w:val="24"/>
          <w:szCs w:val="24"/>
        </w:rPr>
        <w:t xml:space="preserve">». Общие технические требования» </w:t>
      </w:r>
      <w:r/>
    </w:p>
    <w:p>
      <w:pPr>
        <w:pStyle w:val="832"/>
        <w:ind w:firstLine="426"/>
        <w:spacing w:lineRule="exact" w:line="278"/>
        <w:rPr>
          <w:rStyle w:val="828"/>
          <w:color w:val="000000"/>
          <w:sz w:val="24"/>
          <w:szCs w:val="24"/>
        </w:rPr>
      </w:pPr>
      <w:r>
        <w:rPr>
          <w:rStyle w:val="828"/>
          <w:color w:val="000000"/>
          <w:sz w:val="24"/>
          <w:szCs w:val="24"/>
        </w:rPr>
        <w:t xml:space="preserve">•</w:t>
      </w:r>
      <w:r>
        <w:rPr>
          <w:rStyle w:val="828"/>
          <w:color w:val="000000"/>
          <w:sz w:val="24"/>
          <w:szCs w:val="24"/>
        </w:rPr>
        <w:tab/>
        <w:t xml:space="preserve">Отраслевые стандарты (</w:t>
      </w:r>
      <w:r>
        <w:rPr>
          <w:rStyle w:val="828"/>
          <w:color w:val="000000"/>
          <w:sz w:val="24"/>
          <w:szCs w:val="24"/>
        </w:rPr>
        <w:t xml:space="preserve">СниП</w:t>
      </w:r>
      <w:r>
        <w:rPr>
          <w:rStyle w:val="828"/>
          <w:color w:val="000000"/>
          <w:sz w:val="24"/>
          <w:szCs w:val="24"/>
        </w:rPr>
        <w:t xml:space="preserve">, СанПиН);</w:t>
      </w:r>
      <w:r/>
    </w:p>
    <w:p>
      <w:pPr>
        <w:pStyle w:val="832"/>
        <w:ind w:firstLine="426"/>
        <w:spacing w:lineRule="exact" w:line="278"/>
        <w:rPr>
          <w:rStyle w:val="828"/>
          <w:color w:val="000000"/>
          <w:sz w:val="24"/>
          <w:szCs w:val="24"/>
        </w:rPr>
      </w:pPr>
      <w:r>
        <w:rPr>
          <w:rStyle w:val="828"/>
          <w:color w:val="000000"/>
          <w:sz w:val="24"/>
          <w:szCs w:val="24"/>
        </w:rPr>
        <w:t xml:space="preserve">•</w:t>
      </w:r>
      <w:r>
        <w:rPr>
          <w:rStyle w:val="828"/>
          <w:color w:val="000000"/>
          <w:sz w:val="24"/>
          <w:szCs w:val="24"/>
        </w:rPr>
        <w:tab/>
        <w:t xml:space="preserve">Технические условия;</w:t>
      </w:r>
      <w:r/>
    </w:p>
    <w:p>
      <w:pPr>
        <w:pStyle w:val="832"/>
        <w:ind w:firstLine="426"/>
        <w:spacing w:lineRule="exact" w:line="278"/>
        <w:rPr>
          <w:rStyle w:val="828"/>
          <w:color w:val="000000"/>
          <w:sz w:val="24"/>
          <w:szCs w:val="24"/>
        </w:rPr>
      </w:pPr>
      <w:r>
        <w:rPr>
          <w:rStyle w:val="828"/>
          <w:color w:val="000000"/>
          <w:sz w:val="24"/>
          <w:szCs w:val="24"/>
        </w:rPr>
        <w:t xml:space="preserve">•</w:t>
      </w:r>
      <w:r>
        <w:rPr>
          <w:rStyle w:val="828"/>
          <w:color w:val="000000"/>
          <w:sz w:val="24"/>
          <w:szCs w:val="24"/>
        </w:rPr>
        <w:tab/>
        <w:t xml:space="preserve">Приказ Минэнерго России от 25.10.2017 № 1013 «Правила организации технического обслуживания и ремонта объектов электроэнергетики»</w:t>
      </w:r>
      <w:r/>
    </w:p>
    <w:p>
      <w:pPr>
        <w:pStyle w:val="832"/>
        <w:ind w:firstLine="426"/>
        <w:spacing w:lineRule="exact" w:line="278"/>
        <w:rPr>
          <w:rStyle w:val="828"/>
          <w:color w:val="000000"/>
          <w:sz w:val="24"/>
          <w:szCs w:val="24"/>
        </w:rPr>
      </w:pPr>
      <w:r>
        <w:rPr>
          <w:rStyle w:val="828"/>
          <w:color w:val="000000"/>
          <w:sz w:val="24"/>
          <w:szCs w:val="24"/>
        </w:rPr>
        <w:t xml:space="preserve">•</w:t>
      </w:r>
      <w:r>
        <w:rPr>
          <w:rStyle w:val="828"/>
          <w:color w:val="000000"/>
          <w:sz w:val="24"/>
          <w:szCs w:val="24"/>
        </w:rPr>
        <w:tab/>
        <w:t xml:space="preserve">СТО 34.01-23.1-001-2017 «Объем и нормы испытаний электрооборудования»;</w:t>
      </w:r>
      <w:r/>
    </w:p>
    <w:p>
      <w:pPr>
        <w:pStyle w:val="832"/>
        <w:ind w:firstLine="426"/>
        <w:spacing w:lineRule="exact" w:line="278"/>
        <w:shd w:val="clear" w:color="auto" w:fill="auto"/>
        <w:rPr>
          <w:rStyle w:val="828"/>
          <w:color w:val="000000"/>
          <w:sz w:val="24"/>
          <w:szCs w:val="24"/>
        </w:rPr>
      </w:pPr>
      <w:r>
        <w:rPr>
          <w:rStyle w:val="828"/>
          <w:color w:val="000000"/>
          <w:sz w:val="24"/>
          <w:szCs w:val="24"/>
        </w:rPr>
        <w:t xml:space="preserve">•</w:t>
      </w:r>
      <w:r>
        <w:rPr>
          <w:rStyle w:val="828"/>
          <w:color w:val="000000"/>
          <w:sz w:val="24"/>
          <w:szCs w:val="24"/>
        </w:rPr>
        <w:tab/>
        <w:t xml:space="preserve">«Положение о порядке взаимодействия ОАО «МОЭСК» и подрядных организаций при организации технического обслуживания и ремонта на объектах электрических сетей» 2007 г., а также проектов </w:t>
      </w:r>
      <w:r>
        <w:rPr>
          <w:rStyle w:val="828"/>
          <w:color w:val="000000"/>
          <w:sz w:val="24"/>
          <w:szCs w:val="24"/>
        </w:rPr>
        <w:t xml:space="preserve">оказания услуг</w:t>
      </w:r>
      <w:r>
        <w:rPr>
          <w:rStyle w:val="828"/>
          <w:color w:val="000000"/>
          <w:sz w:val="24"/>
          <w:szCs w:val="24"/>
        </w:rPr>
        <w:t xml:space="preserve"> и технологических карт.</w:t>
      </w:r>
      <w:r/>
    </w:p>
    <w:p>
      <w:pPr>
        <w:pStyle w:val="832"/>
        <w:spacing w:lineRule="exact" w:line="278"/>
        <w:shd w:val="clear" w:color="auto" w:fill="auto"/>
        <w:rPr>
          <w:sz w:val="24"/>
          <w:szCs w:val="24"/>
        </w:rPr>
      </w:pPr>
      <w:r>
        <w:rPr>
          <w:rStyle w:val="828"/>
          <w:color w:val="000000"/>
          <w:sz w:val="24"/>
          <w:szCs w:val="24"/>
        </w:rPr>
        <w:t xml:space="preserve">Положением об особенностях расследования несчастных случаев на производстве в отдельных отраслях и организациях;</w:t>
      </w:r>
      <w:r/>
    </w:p>
    <w:p>
      <w:pPr>
        <w:pStyle w:val="833"/>
        <w:numPr>
          <w:ilvl w:val="0"/>
          <w:numId w:val="1"/>
        </w:numPr>
        <w:ind w:firstLine="360"/>
        <w:keepLines/>
        <w:keepNext/>
        <w:spacing w:lineRule="exact" w:line="269"/>
        <w:shd w:val="clear" w:color="auto" w:fill="auto"/>
        <w:tabs>
          <w:tab w:val="left" w:pos="284" w:leader="none"/>
        </w:tabs>
        <w:rPr>
          <w:sz w:val="24"/>
          <w:szCs w:val="24"/>
        </w:rPr>
      </w:pPr>
      <w:r/>
      <w:bookmarkStart w:id="2" w:name="bookmark3"/>
      <w:r>
        <w:rPr>
          <w:rStyle w:val="829"/>
          <w:b/>
          <w:bCs/>
          <w:color w:val="000000"/>
          <w:sz w:val="24"/>
          <w:szCs w:val="24"/>
        </w:rPr>
        <w:t xml:space="preserve">Требования к Исполнителю</w:t>
      </w:r>
      <w:bookmarkEnd w:id="2"/>
      <w:r/>
      <w:r/>
    </w:p>
    <w:p>
      <w:pPr>
        <w:pStyle w:val="832"/>
        <w:spacing w:lineRule="exact" w:line="269"/>
        <w:shd w:val="clear" w:color="auto" w:fill="auto"/>
        <w:rPr>
          <w:sz w:val="24"/>
          <w:szCs w:val="24"/>
        </w:rPr>
      </w:pPr>
      <w:r>
        <w:rPr>
          <w:rStyle w:val="828"/>
          <w:color w:val="000000"/>
          <w:sz w:val="24"/>
          <w:szCs w:val="24"/>
        </w:rPr>
        <w:t xml:space="preserve">Исполнитель должен отвечать требованиям:</w:t>
      </w:r>
      <w:r/>
    </w:p>
    <w:p>
      <w:pPr>
        <w:pStyle w:val="832"/>
        <w:numPr>
          <w:ilvl w:val="1"/>
          <w:numId w:val="1"/>
        </w:numPr>
        <w:ind w:firstLine="360"/>
        <w:spacing w:lineRule="exact" w:line="269"/>
        <w:shd w:val="clear" w:color="auto" w:fill="auto"/>
        <w:rPr>
          <w:sz w:val="24"/>
          <w:szCs w:val="24"/>
        </w:rPr>
      </w:pPr>
      <w:r>
        <w:rPr>
          <w:rStyle w:val="828"/>
          <w:color w:val="000000"/>
          <w:sz w:val="24"/>
          <w:szCs w:val="24"/>
        </w:rPr>
        <w:t xml:space="preserve">Соответствовать требованиям, предъявляемым законодательством РФ к лицам, осуществляющим оказание услуг, являющихся предметом торгов:</w:t>
      </w:r>
      <w:r/>
    </w:p>
    <w:p>
      <w:pPr>
        <w:pStyle w:val="832"/>
        <w:ind w:firstLine="360"/>
        <w:spacing w:lineRule="exact" w:line="269"/>
        <w:shd w:val="clear" w:color="auto" w:fill="auto"/>
        <w:tabs>
          <w:tab w:val="left" w:pos="1474" w:leader="none"/>
        </w:tabs>
        <w:rPr>
          <w:sz w:val="24"/>
          <w:szCs w:val="24"/>
        </w:rPr>
      </w:pPr>
      <w:r>
        <w:rPr>
          <w:rStyle w:val="828"/>
          <w:color w:val="000000"/>
          <w:sz w:val="24"/>
          <w:szCs w:val="24"/>
        </w:rPr>
        <w:t xml:space="preserve">а)</w:t>
      </w:r>
      <w:r>
        <w:rPr>
          <w:rStyle w:val="828"/>
          <w:color w:val="000000"/>
          <w:sz w:val="24"/>
          <w:szCs w:val="24"/>
        </w:rPr>
        <w:tab/>
        <w:t xml:space="preserve">отсутствие ограничений на осуществление деятельности, предусмотренной контрактом в учредительных документах;</w:t>
      </w:r>
      <w:r/>
    </w:p>
    <w:p>
      <w:pPr>
        <w:pStyle w:val="832"/>
        <w:ind w:firstLine="360"/>
        <w:spacing w:lineRule="exact" w:line="269"/>
        <w:shd w:val="clear" w:color="auto" w:fill="auto"/>
        <w:tabs>
          <w:tab w:val="left" w:pos="1474" w:leader="none"/>
        </w:tabs>
        <w:rPr>
          <w:sz w:val="24"/>
          <w:szCs w:val="24"/>
        </w:rPr>
      </w:pPr>
      <w:r>
        <w:rPr>
          <w:rStyle w:val="828"/>
          <w:color w:val="000000"/>
          <w:sz w:val="24"/>
          <w:szCs w:val="24"/>
        </w:rPr>
        <w:t xml:space="preserve">б)</w:t>
      </w:r>
      <w:r>
        <w:rPr>
          <w:rStyle w:val="828"/>
          <w:color w:val="000000"/>
          <w:sz w:val="24"/>
          <w:szCs w:val="24"/>
        </w:rPr>
        <w:tab/>
        <w:t xml:space="preserve">соответствие предмету торгов основных видов деятельности Исполнителя (определенных на основании его учредительных документов);</w:t>
      </w:r>
      <w:r/>
    </w:p>
    <w:p>
      <w:pPr>
        <w:pStyle w:val="832"/>
        <w:ind w:firstLine="360"/>
        <w:spacing w:lineRule="exact" w:line="269"/>
        <w:shd w:val="clear" w:color="auto" w:fill="auto"/>
        <w:tabs>
          <w:tab w:val="left" w:pos="1474" w:leader="none"/>
        </w:tabs>
        <w:rPr>
          <w:sz w:val="24"/>
          <w:szCs w:val="24"/>
        </w:rPr>
      </w:pPr>
      <w:r>
        <w:rPr>
          <w:rStyle w:val="828"/>
          <w:color w:val="000000"/>
          <w:sz w:val="24"/>
          <w:szCs w:val="24"/>
        </w:rPr>
        <w:t xml:space="preserve">в)</w:t>
      </w:r>
      <w:r>
        <w:rPr>
          <w:rStyle w:val="828"/>
          <w:color w:val="000000"/>
          <w:sz w:val="24"/>
          <w:szCs w:val="24"/>
        </w:rPr>
        <w:tab/>
        <w:t xml:space="preserve">наличие сертификатов соответствия и свидетельств о допуске к </w:t>
      </w:r>
      <w:r>
        <w:rPr>
          <w:rStyle w:val="828"/>
          <w:color w:val="000000"/>
          <w:sz w:val="24"/>
          <w:szCs w:val="24"/>
        </w:rPr>
        <w:t xml:space="preserve">оказанию услуг</w:t>
      </w:r>
      <w:r>
        <w:rPr>
          <w:rStyle w:val="828"/>
          <w:color w:val="000000"/>
          <w:sz w:val="24"/>
          <w:szCs w:val="24"/>
        </w:rPr>
        <w:t xml:space="preserve">, которые оказывают влияние на безопасность объектов капитального строительства, выданные саморегулируемыми организациями в соответствии с Градостроительным Кодексом РФ и Федеральным законом 315 "О саморегулируемых организациях".</w:t>
      </w:r>
      <w:r/>
    </w:p>
    <w:p>
      <w:pPr>
        <w:pStyle w:val="832"/>
        <w:numPr>
          <w:ilvl w:val="1"/>
          <w:numId w:val="1"/>
        </w:numPr>
        <w:ind w:firstLine="360"/>
        <w:spacing w:lineRule="exact" w:line="269"/>
        <w:shd w:val="clear" w:color="auto" w:fill="auto"/>
        <w:rPr>
          <w:sz w:val="24"/>
          <w:szCs w:val="24"/>
        </w:rPr>
      </w:pPr>
      <w:r>
        <w:rPr>
          <w:rStyle w:val="828"/>
          <w:color w:val="000000"/>
          <w:sz w:val="24"/>
          <w:szCs w:val="24"/>
        </w:rPr>
        <w:t xml:space="preserve">Исполнитель не должен находиться в стадии ликвидации и банкротства.</w:t>
      </w:r>
      <w:r/>
    </w:p>
    <w:p>
      <w:pPr>
        <w:pStyle w:val="832"/>
        <w:numPr>
          <w:ilvl w:val="1"/>
          <w:numId w:val="1"/>
        </w:numPr>
        <w:ind w:firstLine="360"/>
        <w:spacing w:lineRule="exact" w:line="269"/>
        <w:shd w:val="clear" w:color="auto" w:fill="auto"/>
        <w:rPr>
          <w:sz w:val="24"/>
          <w:szCs w:val="24"/>
        </w:rPr>
      </w:pPr>
      <w:r>
        <w:rPr>
          <w:rStyle w:val="828"/>
          <w:color w:val="000000"/>
          <w:sz w:val="24"/>
          <w:szCs w:val="24"/>
        </w:rPr>
        <w:t xml:space="preserve">Деятельность Исполнителя не должна быть приостановлена в связи с административными правонарушениями, предусмотренными Кодексом РФ об административных правонарушениях.</w:t>
      </w:r>
      <w:r/>
    </w:p>
    <w:p>
      <w:pPr>
        <w:pStyle w:val="832"/>
        <w:numPr>
          <w:ilvl w:val="1"/>
          <w:numId w:val="1"/>
        </w:numPr>
        <w:ind w:firstLine="360"/>
        <w:spacing w:lineRule="exact" w:line="269"/>
        <w:shd w:val="clear" w:color="auto" w:fill="auto"/>
        <w:rPr>
          <w:sz w:val="24"/>
          <w:szCs w:val="24"/>
        </w:rPr>
      </w:pPr>
      <w:r>
        <w:rPr>
          <w:rStyle w:val="828"/>
          <w:color w:val="000000"/>
          <w:sz w:val="24"/>
          <w:szCs w:val="24"/>
        </w:rPr>
        <w:t xml:space="preserve">Отсутствие у Исполнителя задолженности по начисленным налогам, сборам и иным обязательным платежам в бюджеты любог</w:t>
      </w:r>
      <w:r>
        <w:rPr>
          <w:rStyle w:val="828"/>
          <w:color w:val="000000"/>
          <w:sz w:val="24"/>
          <w:szCs w:val="24"/>
        </w:rPr>
        <w:t xml:space="preserve">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Исполнителя по данным бухгалтерской отчетности за последний завершенный отчетный период. Исполнитель</w:t>
      </w:r>
      <w:r/>
    </w:p>
    <w:p>
      <w:pPr>
        <w:spacing w:lineRule="exact" w:line="274" w:after="0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считается соответствующим установленному требованию в случае,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торгах не принято.</w:t>
      </w:r>
      <w:r/>
    </w:p>
    <w:p>
      <w:pPr>
        <w:pStyle w:val="838"/>
        <w:numPr>
          <w:ilvl w:val="1"/>
          <w:numId w:val="1"/>
        </w:numPr>
        <w:ind w:left="0" w:firstLine="426"/>
        <w:spacing w:lineRule="exact" w:line="274" w:after="0"/>
        <w:tabs>
          <w:tab w:val="left" w:pos="851" w:leader="none"/>
        </w:tabs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Исполнитель должен предоставить Заказчику комплект документов по охране труда в соответствии с перечнем Регламента Заказчика по допуску подрядных и субподрядных организаций на объекты ПАО «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Россети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Московский регион», утвержденного приказом Общества от 05.04.2021 №333.</w:t>
      </w:r>
      <w:r/>
    </w:p>
    <w:p>
      <w:pPr>
        <w:pStyle w:val="838"/>
        <w:numPr>
          <w:ilvl w:val="1"/>
          <w:numId w:val="1"/>
        </w:numPr>
        <w:ind w:left="0" w:firstLine="426"/>
        <w:spacing w:lineRule="exact" w:line="274" w:after="0"/>
        <w:tabs>
          <w:tab w:val="left" w:pos="851" w:leader="none"/>
        </w:tabs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Исполнитель должен иметь: Действующие "Свидетельство о допуске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к работам, которые оказывают влияние на безопасность объектов капитального строительства", выданные саморегулируемыми организациями в соответствии с Градостроительным Кодексом РФ и Федеральным законом 315 "О саморегулируемых организациях", при этом состав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обязательно должен включать пункты, соответствующие теме договора:</w:t>
      </w:r>
      <w:r/>
    </w:p>
    <w:p>
      <w:pPr>
        <w:ind w:firstLine="360"/>
        <w:spacing w:lineRule="exact" w:line="274" w:after="0"/>
        <w:tabs>
          <w:tab w:val="left" w:pos="851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Действующие "Свидетельство о допуске к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оказанию 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по подготовке проектной документации, которы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е оказывают влияние на безопасность объектов капитального строительства", выданные саморегулируемыми организациями в соответствии с Градостроительным Кодексом РФ и Федеральным законом 315 "О саморегулируемых организациях" со следующими разрешенными видами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оказания 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:</w:t>
      </w:r>
      <w:r/>
    </w:p>
    <w:p>
      <w:pPr>
        <w:numPr>
          <w:ilvl w:val="0"/>
          <w:numId w:val="2"/>
        </w:numPr>
        <w:ind w:firstLine="360"/>
        <w:spacing w:lineRule="exact" w:line="274" w:after="0"/>
        <w:tabs>
          <w:tab w:val="left" w:pos="851" w:leader="none"/>
          <w:tab w:val="left" w:pos="13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Оказание 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по подготовке сведений об инженерном оборудовании, о сетях инженерно-технического обеспечения, перечня инженерно-технических мероприятий, содержания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технологических решений.</w:t>
      </w:r>
      <w:r/>
    </w:p>
    <w:p>
      <w:pPr>
        <w:numPr>
          <w:ilvl w:val="0"/>
          <w:numId w:val="2"/>
        </w:numPr>
        <w:ind w:firstLine="567"/>
        <w:spacing w:lineRule="exact" w:line="269" w:after="0"/>
        <w:tabs>
          <w:tab w:val="left" w:pos="851" w:leader="none"/>
          <w:tab w:val="left" w:pos="13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Оказание 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по разработке технологических и конструктивных решений линейного объекта;</w:t>
      </w:r>
      <w:r/>
    </w:p>
    <w:p>
      <w:pPr>
        <w:pStyle w:val="838"/>
        <w:numPr>
          <w:ilvl w:val="1"/>
          <w:numId w:val="1"/>
        </w:numPr>
        <w:ind w:left="0" w:firstLine="426"/>
        <w:spacing w:lineRule="exact" w:line="269" w:after="0"/>
        <w:tabs>
          <w:tab w:val="left" w:pos="851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Исполнитель должен иметь ресурсные возможности (финансовые, материально- технические, произво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дственные, трудовые и др.) для оказания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, определенного настоящим ТЗ;</w:t>
      </w:r>
      <w:r/>
    </w:p>
    <w:p>
      <w:pPr>
        <w:pStyle w:val="838"/>
        <w:numPr>
          <w:ilvl w:val="1"/>
          <w:numId w:val="1"/>
        </w:numPr>
        <w:ind w:left="0" w:firstLine="426"/>
        <w:spacing w:lineRule="exact" w:line="269" w:after="0"/>
        <w:tabs>
          <w:tab w:val="left" w:pos="851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Оказание услуг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должны выполняться квалифицированным персоналом, имеющим опыт не менее одного года.</w:t>
      </w:r>
      <w:r/>
    </w:p>
    <w:p>
      <w:pPr>
        <w:pStyle w:val="838"/>
        <w:numPr>
          <w:ilvl w:val="1"/>
          <w:numId w:val="1"/>
        </w:numPr>
        <w:ind w:left="0" w:firstLine="426"/>
        <w:spacing w:lineRule="exact" w:line="269" w:after="0"/>
        <w:tabs>
          <w:tab w:val="left" w:pos="851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Исполнитель должен принять на себя все риски, связанные с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о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казание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м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.</w:t>
      </w:r>
      <w:r/>
    </w:p>
    <w:p>
      <w:pPr>
        <w:pStyle w:val="838"/>
        <w:numPr>
          <w:ilvl w:val="1"/>
          <w:numId w:val="1"/>
        </w:numPr>
        <w:ind w:left="0" w:firstLine="426"/>
        <w:spacing w:lineRule="exact" w:line="269" w:after="0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Исполнитель обязан обеспечить сохранность материально-технических ценностей, находящихся в помещениях и на территории Заказчика.</w:t>
      </w:r>
      <w:r/>
    </w:p>
    <w:p>
      <w:pPr>
        <w:pStyle w:val="838"/>
        <w:numPr>
          <w:ilvl w:val="1"/>
          <w:numId w:val="1"/>
        </w:numPr>
        <w:ind w:left="0" w:firstLine="426"/>
        <w:spacing w:lineRule="exact" w:line="269" w:after="0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Исполнитель должен обеспечить соблюдение конфиденциальности условий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оказания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.</w:t>
      </w:r>
      <w:r/>
    </w:p>
    <w:p>
      <w:pPr>
        <w:pStyle w:val="838"/>
        <w:numPr>
          <w:ilvl w:val="1"/>
          <w:numId w:val="1"/>
        </w:numPr>
        <w:ind w:left="0" w:firstLine="426"/>
        <w:spacing w:lineRule="exact" w:line="269" w:after="0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Исполнитель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оказывает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у собственным иждивением.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Услуги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оказываются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силами профессиональных сотрудников соответствующей квалификации, гражданами Российской Федерации.</w:t>
      </w:r>
      <w:r/>
    </w:p>
    <w:p>
      <w:pPr>
        <w:ind w:firstLine="360"/>
        <w:spacing w:lineRule="exact" w:line="274" w:after="0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Разграничение зон ответственности между Заказчиком, Исполнителем, субподрядными и специализированными организациями определяет Заказчик.</w:t>
      </w:r>
      <w:r/>
    </w:p>
    <w:p>
      <w:pPr>
        <w:numPr>
          <w:ilvl w:val="0"/>
          <w:numId w:val="3"/>
        </w:numPr>
        <w:ind w:firstLine="360"/>
        <w:keepLines/>
        <w:keepNext/>
        <w:spacing w:lineRule="exact" w:line="278" w:after="0"/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cs="Times New Roman" w:eastAsia="Times New Roman"/>
          <w:b/>
          <w:bCs/>
          <w:color w:val="000000"/>
          <w:sz w:val="24"/>
          <w:szCs w:val="24"/>
          <w:lang w:eastAsia="ru-RU"/>
        </w:rPr>
        <w:t xml:space="preserve">Особенности производства </w:t>
      </w:r>
      <w:r>
        <w:rPr>
          <w:rFonts w:ascii="Times New Roman" w:hAnsi="Times New Roman" w:cs="Times New Roman" w:eastAsia="Times New Roman"/>
          <w:b/>
          <w:bCs/>
          <w:color w:val="000000"/>
          <w:sz w:val="24"/>
          <w:szCs w:val="24"/>
          <w:lang w:eastAsia="ru-RU"/>
        </w:rPr>
        <w:t xml:space="preserve">услуг</w:t>
      </w:r>
      <w:r>
        <w:rPr>
          <w:rFonts w:ascii="Times New Roman" w:hAnsi="Times New Roman" w:cs="Times New Roman" w:eastAsia="Times New Roman"/>
          <w:b/>
          <w:bCs/>
          <w:color w:val="000000"/>
          <w:sz w:val="24"/>
          <w:szCs w:val="24"/>
          <w:lang w:eastAsia="ru-RU"/>
        </w:rPr>
        <w:t xml:space="preserve">.</w:t>
      </w:r>
      <w:r/>
    </w:p>
    <w:p>
      <w:pPr>
        <w:ind w:firstLine="360"/>
        <w:spacing w:lineRule="exact" w:line="278" w:after="0"/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Время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оказания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на территории Заказчика с 8:00 до 17:00 (время местное) с понедельника по пятницу.</w:t>
      </w:r>
      <w:r/>
    </w:p>
    <w:p>
      <w:pPr>
        <w:ind w:firstLine="360"/>
        <w:spacing w:lineRule="exact" w:line="278" w:after="0"/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Адрес проведения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: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Московская область, г. о. Подольск, ул. Орджоникидзе, д. 23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</w:r>
      <w:r/>
    </w:p>
    <w:p>
      <w:pPr>
        <w:ind w:firstLine="360"/>
        <w:spacing w:lineRule="exact" w:line="278" w:after="0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По завершении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оказания 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Заказчик подписывает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Акт сдачи-приемки оказанных 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.</w:t>
      </w:r>
      <w:r/>
    </w:p>
    <w:p>
      <w:pPr>
        <w:numPr>
          <w:ilvl w:val="0"/>
          <w:numId w:val="3"/>
        </w:numPr>
        <w:ind w:firstLine="360"/>
        <w:jc w:val="both"/>
        <w:keepLines/>
        <w:keepNext/>
        <w:spacing w:lineRule="exact" w:line="274" w:after="0"/>
        <w:tabs>
          <w:tab w:val="left" w:pos="567" w:leader="none"/>
          <w:tab w:val="left" w:pos="1276" w:leader="none"/>
        </w:tabs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cs="Times New Roman" w:eastAsia="Times New Roman"/>
          <w:b/>
          <w:bCs/>
          <w:color w:val="000000"/>
          <w:sz w:val="24"/>
          <w:szCs w:val="24"/>
          <w:lang w:eastAsia="ru-RU"/>
        </w:rPr>
        <w:t xml:space="preserve">Требование выполнении норм охраны труда и техники безопасности.</w:t>
      </w:r>
      <w:r/>
    </w:p>
    <w:p>
      <w:pPr>
        <w:ind w:firstLine="360"/>
        <w:spacing w:lineRule="exact" w:line="274" w:after="0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Персонал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Исполнителя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должен пройти обучение и быть аттестован в специализированной организации, имеющей лицензию на проведение обучения в области охраны труда и других, необходимых по технологии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оказываемых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специальных правил.</w:t>
      </w:r>
      <w:r/>
    </w:p>
    <w:p>
      <w:pPr>
        <w:ind w:firstLine="360"/>
        <w:spacing w:lineRule="exact" w:line="274" w:after="0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До начала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оказания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Исполнитель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обязан предоставить Заказчику подтверждение аттестации своего персонала по охране труда и другим специальным правилам.</w:t>
      </w:r>
      <w:r/>
    </w:p>
    <w:p>
      <w:pPr>
        <w:ind w:firstLine="360"/>
        <w:spacing w:lineRule="exact" w:line="274" w:after="0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Исполнитель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обязан обеспечить персонал средствами индивидуальной и коллективной защиты (и другие требования выполнения норм охраны труда и техники безопасности).</w:t>
      </w:r>
      <w:r/>
    </w:p>
    <w:p>
      <w:pPr>
        <w:ind w:firstLine="360"/>
        <w:spacing w:lineRule="exact" w:line="274" w:after="0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Исполнитель при оказании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должен соблюдать правила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охраны труда, пожарной безопасности и трудовую дисциплину, руководствуясь требованиями действующего законодательства Российской Федерации, Межотраслевых правил по охране труда, Правил пожарной безопасности, Правил внутреннего трудового распорядка Объекта.</w:t>
      </w:r>
      <w:r/>
    </w:p>
    <w:p>
      <w:pPr>
        <w:numPr>
          <w:ilvl w:val="0"/>
          <w:numId w:val="3"/>
        </w:numPr>
        <w:ind w:firstLine="426"/>
        <w:keepLines/>
        <w:keepNext/>
        <w:spacing w:lineRule="exact" w:line="244" w:after="0"/>
        <w:tabs>
          <w:tab w:val="left" w:pos="426" w:leader="none"/>
        </w:tabs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cs="Times New Roman" w:eastAsia="Times New Roman"/>
          <w:b/>
          <w:bCs/>
          <w:color w:val="000000"/>
          <w:sz w:val="24"/>
          <w:szCs w:val="24"/>
          <w:lang w:eastAsia="ru-RU"/>
        </w:rPr>
        <w:t xml:space="preserve">Условия оплаты</w:t>
      </w:r>
      <w:r>
        <w:rPr>
          <w:rFonts w:ascii="Times New Roman" w:hAnsi="Times New Roman" w:cs="Times New Roman" w:eastAsia="Times New Roman"/>
          <w:b/>
          <w:bCs/>
          <w:color w:val="000000"/>
          <w:sz w:val="24"/>
          <w:szCs w:val="24"/>
          <w:lang w:eastAsia="ru-RU"/>
        </w:rPr>
        <w:t xml:space="preserve">.</w:t>
      </w:r>
      <w:r/>
    </w:p>
    <w:p>
      <w:pPr>
        <w:keepLines/>
        <w:keepNext/>
        <w:spacing w:lineRule="exact" w:line="244" w:after="0"/>
        <w:tabs>
          <w:tab w:val="left" w:pos="426" w:leader="none"/>
        </w:tabs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ab/>
        <w:t xml:space="preserve">О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плата принятых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производится Зак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азчиком в течении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7 рабочих дней со дня подписания Сторонами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Акт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а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сдачи-приемки оказанных 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если иной срок не установлен законом или иным нормативным правовым актом.</w:t>
      </w:r>
      <w:r>
        <w:rPr>
          <w:rFonts w:ascii="Times New Roman" w:hAnsi="Times New Roman" w:cs="Times New Roman"/>
          <w:bCs/>
          <w:sz w:val="24"/>
          <w:szCs w:val="24"/>
        </w:rPr>
        <w:t xml:space="preserve">Авансирование не предусмотрено.</w:t>
      </w:r>
      <w:r/>
    </w:p>
    <w:p>
      <w:pPr>
        <w:ind w:firstLine="426"/>
        <w:keepLines/>
        <w:keepNext/>
        <w:spacing w:lineRule="exact" w:line="244" w:after="0"/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cs="Times New Roman" w:eastAsia="Times New Roman"/>
          <w:b/>
          <w:bCs/>
          <w:color w:val="000000"/>
          <w:sz w:val="24"/>
          <w:szCs w:val="24"/>
          <w:lang w:eastAsia="ru-RU"/>
        </w:rPr>
        <w:t xml:space="preserve">7. Требуемые сроки </w:t>
      </w:r>
      <w:r>
        <w:rPr>
          <w:rFonts w:ascii="Times New Roman" w:hAnsi="Times New Roman" w:cs="Times New Roman" w:eastAsia="Times New Roman"/>
          <w:b/>
          <w:bCs/>
          <w:color w:val="000000"/>
          <w:sz w:val="24"/>
          <w:szCs w:val="24"/>
          <w:lang w:eastAsia="ru-RU"/>
        </w:rPr>
        <w:t xml:space="preserve">оказание услуг</w:t>
      </w:r>
      <w:r>
        <w:rPr>
          <w:rFonts w:ascii="Times New Roman" w:hAnsi="Times New Roman" w:cs="Times New Roman" w:eastAsia="Times New Roman"/>
          <w:b/>
          <w:bCs/>
          <w:color w:val="000000"/>
          <w:sz w:val="24"/>
          <w:szCs w:val="24"/>
          <w:lang w:eastAsia="ru-RU"/>
        </w:rPr>
        <w:t xml:space="preserve">.</w:t>
      </w:r>
      <w:r/>
    </w:p>
    <w:p>
      <w:pPr>
        <w:ind w:firstLine="426"/>
        <w:keepLines/>
        <w:keepNext/>
        <w:spacing w:lineRule="exact" w:line="278" w:after="0"/>
        <w:tabs>
          <w:tab w:val="left" w:pos="567" w:leader="none"/>
        </w:tabs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outlineLvl w:val="0"/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Начало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–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с момента заключения договора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;</w:t>
      </w:r>
      <w:r/>
    </w:p>
    <w:p>
      <w:pPr>
        <w:spacing w:lineRule="exact" w:line="244" w:after="0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    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Окончание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-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не позднее 30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июня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2026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г.</w:t>
      </w:r>
      <w:r/>
    </w:p>
    <w:p>
      <w:pPr>
        <w:ind w:firstLine="426"/>
        <w:keepLines/>
        <w:keepNext/>
        <w:spacing w:lineRule="exact" w:line="278" w:after="0"/>
        <w:tabs>
          <w:tab w:val="left" w:pos="567" w:leader="none"/>
        </w:tabs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cs="Times New Roman" w:eastAsia="Times New Roman"/>
          <w:b/>
          <w:bCs/>
          <w:color w:val="000000"/>
          <w:sz w:val="24"/>
          <w:szCs w:val="24"/>
          <w:lang w:eastAsia="ru-RU"/>
        </w:rPr>
        <w:t xml:space="preserve">8.</w:t>
      </w:r>
      <w:r>
        <w:rPr>
          <w:rFonts w:ascii="Times New Roman" w:hAnsi="Times New Roman" w:cs="Times New Roman" w:eastAsia="Times New Roman"/>
          <w:b/>
          <w:bCs/>
          <w:color w:val="000000"/>
          <w:sz w:val="24"/>
          <w:szCs w:val="24"/>
          <w:lang w:eastAsia="ru-RU"/>
        </w:rPr>
        <w:tab/>
        <w:t xml:space="preserve">Гарантийные обязательства</w:t>
      </w:r>
      <w:r>
        <w:rPr>
          <w:rFonts w:ascii="Times New Roman" w:hAnsi="Times New Roman" w:cs="Times New Roman" w:eastAsia="Times New Roman"/>
          <w:b/>
          <w:bCs/>
          <w:color w:val="000000"/>
          <w:sz w:val="24"/>
          <w:szCs w:val="24"/>
          <w:lang w:eastAsia="ru-RU"/>
        </w:rPr>
        <w:t xml:space="preserve">.</w:t>
      </w:r>
      <w:r/>
    </w:p>
    <w:p>
      <w:pPr>
        <w:ind w:firstLine="360"/>
        <w:spacing w:lineRule="exact" w:line="278" w:after="0"/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Гарантия на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услуг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у обслуживаемого оборудования должна составлять 12 месяцев со дня приёмки.</w:t>
      </w:r>
      <w:r/>
    </w:p>
    <w:p>
      <w:pPr>
        <w:ind w:firstLine="360"/>
        <w:spacing w:lineRule="exact" w:line="278" w:after="0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</w:r>
      <w:r/>
    </w:p>
    <w:p>
      <w:pPr>
        <w:ind w:firstLine="426"/>
        <w:spacing w:lineRule="exact" w:line="244" w:after="0"/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Приложение: </w:t>
      </w:r>
      <w:r/>
    </w:p>
    <w:p>
      <w:pPr>
        <w:ind w:firstLine="567"/>
        <w:spacing w:lineRule="exact" w:line="244" w:after="0"/>
        <w:rPr>
          <w:rStyle w:val="830"/>
          <w:b w:val="false"/>
          <w:bCs w:val="false"/>
          <w:color w:val="000000"/>
          <w:sz w:val="24"/>
          <w:szCs w:val="24"/>
        </w:rPr>
      </w:pPr>
      <w:r>
        <w:rPr>
          <w:b w:val="false"/>
          <w:bCs w:val="false"/>
          <w:color w:val="000000"/>
          <w:sz w:val="24"/>
          <w:szCs w:val="24"/>
        </w:rPr>
      </w:r>
      <w:r/>
    </w:p>
    <w:p>
      <w:pPr>
        <w:ind w:firstLine="567"/>
        <w:spacing w:lineRule="exact" w:line="244" w:after="0"/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1.Приложение №1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–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Ведомость ТО КСПД АБК -2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ЮЭ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С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2026</w:t>
      </w:r>
      <w:bookmarkStart w:id="3" w:name="_GoBack"/>
      <w:r/>
      <w:bookmarkEnd w:id="3"/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;</w:t>
      </w:r>
      <w:r/>
    </w:p>
    <w:p>
      <w:pPr>
        <w:ind w:firstLine="567"/>
        <w:spacing w:lineRule="exact" w:line="244" w:after="0"/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</w:r>
      <w:r/>
    </w:p>
    <w:p>
      <w:pPr>
        <w:ind w:firstLine="567"/>
        <w:spacing w:lineRule="exact" w:line="244" w:after="0"/>
        <w:rPr>
          <w:rStyle w:val="830"/>
          <w:b w:val="false"/>
          <w:color w:val="000000"/>
          <w:sz w:val="24"/>
          <w:szCs w:val="24"/>
          <w:highlight w:val="none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2.Приложение №2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 -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Перечень оборудования, подлежащего техническому обслуживанию</w:t>
      </w:r>
      <w:r>
        <w:t xml:space="preserve">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ТО КСПД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АБК -2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Ю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ЭС</w:t>
      </w:r>
      <w:r>
        <w:rPr>
          <w:rStyle w:val="830"/>
          <w:b w:val="false"/>
          <w:bCs w:val="false"/>
          <w:color w:val="000000"/>
          <w:sz w:val="24"/>
          <w:szCs w:val="24"/>
        </w:rPr>
        <w:t xml:space="preserve">;</w:t>
      </w:r>
      <w:r/>
    </w:p>
    <w:p>
      <w:pPr>
        <w:ind w:firstLine="567"/>
        <w:spacing w:lineRule="exact" w:line="244" w:after="0"/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</w:pPr>
      <w:r>
        <w:rPr>
          <w:rStyle w:val="830"/>
          <w:b w:val="false"/>
          <w:bCs w:val="false"/>
          <w:color w:val="000000"/>
          <w:sz w:val="24"/>
          <w:szCs w:val="24"/>
          <w:highlight w:val="none"/>
        </w:rPr>
      </w:r>
      <w:r>
        <w:rPr>
          <w:rStyle w:val="830"/>
          <w:b w:val="false"/>
          <w:bCs w:val="false"/>
          <w:color w:val="000000"/>
          <w:sz w:val="24"/>
          <w:szCs w:val="24"/>
          <w:highlight w:val="none"/>
        </w:rPr>
        <w:t xml:space="preserve">3. Приложение №3 –Локальная смета ТО КСПД </w:t>
      </w: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АБК -2 </w:t>
      </w:r>
      <w:r>
        <w:rPr>
          <w:rStyle w:val="830"/>
          <w:b w:val="false"/>
          <w:bCs w:val="false"/>
          <w:color w:val="000000"/>
          <w:sz w:val="24"/>
          <w:szCs w:val="24"/>
          <w:highlight w:val="none"/>
        </w:rPr>
        <w:t xml:space="preserve">ЮЭС 2026.</w:t>
      </w:r>
      <w:r>
        <w:rPr>
          <w:rStyle w:val="830"/>
          <w:b w:val="false"/>
          <w:bCs w:val="false"/>
          <w:color w:val="000000"/>
          <w:sz w:val="24"/>
          <w:szCs w:val="24"/>
          <w:highlight w:val="none"/>
        </w:rPr>
      </w:r>
      <w:r/>
    </w:p>
    <w:p>
      <w:pPr>
        <w:spacing w:lineRule="exact" w:line="244" w:after="0"/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</w:r>
      <w:r/>
    </w:p>
    <w:p>
      <w:pPr>
        <w:spacing w:lineRule="exact" w:line="244" w:after="0"/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</w:r>
      <w:r/>
    </w:p>
    <w:p>
      <w:pPr>
        <w:spacing w:lineRule="exact" w:line="244" w:after="0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Лицо, разработавшее техническое задание:</w:t>
      </w:r>
      <w:r/>
    </w:p>
    <w:p>
      <w:pPr>
        <w:spacing w:lineRule="exact" w:line="254" w:after="0"/>
        <w:tabs>
          <w:tab w:val="left" w:pos="4542" w:leader="none"/>
          <w:tab w:val="left" w:pos="6395" w:leader="none"/>
        </w:tabs>
        <w:rPr>
          <w:rFonts w:ascii="Times New Roman" w:hAnsi="Times New Roman" w:cs="Times New Roman" w:eastAsia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u w:val="single"/>
          <w:lang w:eastAsia="ru-RU"/>
        </w:rPr>
      </w:r>
      <w:r/>
    </w:p>
    <w:p>
      <w:pPr>
        <w:spacing w:lineRule="exact" w:line="254" w:after="0"/>
        <w:tabs>
          <w:tab w:val="left" w:pos="4542" w:leader="none"/>
          <w:tab w:val="left" w:pos="6395" w:leader="none"/>
        </w:tabs>
        <w:rPr>
          <w:rFonts w:ascii="Times New Roman" w:hAnsi="Times New Roman" w:cs="Times New Roman" w:eastAsia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u w:val="single"/>
          <w:lang w:eastAsia="ru-RU"/>
        </w:rPr>
      </w:r>
      <w:r/>
    </w:p>
    <w:p>
      <w:pP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ru-RU"/>
        </w:rPr>
        <w:t xml:space="preserve">Начальник ОИТ                                                                                                              Д.В. Дыкин</w:t>
      </w:r>
      <w:r/>
    </w:p>
    <w:p>
      <w:pPr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spacing w:lineRule="exact" w:line="244" w:after="0"/>
        <w:rPr>
          <w:sz w:val="24"/>
          <w:szCs w:val="24"/>
        </w:rPr>
      </w:pPr>
      <w:r>
        <w:rPr>
          <w:sz w:val="24"/>
          <w:szCs w:val="24"/>
        </w:rPr>
      </w:r>
      <w:r/>
    </w:p>
    <w:sectPr>
      <w:footnotePr/>
      <w:endnotePr/>
      <w:type w:val="nextPage"/>
      <w:pgSz w:w="11909" w:h="16840" w:orient="portrait"/>
      <w:pgMar w:top="644" w:right="564" w:bottom="360" w:left="1278" w:header="0" w:footer="3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cs="Times New Roman"/>
        <w:b/>
        <w:bCs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2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3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4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5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6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7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8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•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1">
      <w:start w:val="1"/>
      <w:numFmt w:val="bullet"/>
      <w:isLgl w:val="false"/>
      <w:suff w:val="tab"/>
      <w:lvlText w:val="•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2">
      <w:start w:val="1"/>
      <w:numFmt w:val="bullet"/>
      <w:isLgl w:val="false"/>
      <w:suff w:val="tab"/>
      <w:lvlText w:val="•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3">
      <w:start w:val="1"/>
      <w:numFmt w:val="bullet"/>
      <w:isLgl w:val="false"/>
      <w:suff w:val="tab"/>
      <w:lvlText w:val="•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4">
      <w:start w:val="1"/>
      <w:numFmt w:val="bullet"/>
      <w:isLgl w:val="false"/>
      <w:suff w:val="tab"/>
      <w:lvlText w:val="•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5">
      <w:start w:val="1"/>
      <w:numFmt w:val="bullet"/>
      <w:isLgl w:val="false"/>
      <w:suff w:val="tab"/>
      <w:lvlText w:val="•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6">
      <w:start w:val="1"/>
      <w:numFmt w:val="bullet"/>
      <w:isLgl w:val="false"/>
      <w:suff w:val="tab"/>
      <w:lvlText w:val="•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7">
      <w:start w:val="1"/>
      <w:numFmt w:val="bullet"/>
      <w:isLgl w:val="false"/>
      <w:suff w:val="tab"/>
      <w:lvlText w:val="•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8">
      <w:start w:val="1"/>
      <w:numFmt w:val="bullet"/>
      <w:isLgl w:val="false"/>
      <w:suff w:val="tab"/>
      <w:lvlText w:val="•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</w:abstractNum>
  <w:abstractNum w:abstractNumId="2">
    <w:multiLevelType w:val="hybridMultilevel"/>
    <w:lvl w:ilvl="0">
      <w:start w:val="4"/>
      <w:numFmt w:val="decimal"/>
      <w:isLgl w:val="false"/>
      <w:suff w:val="tab"/>
      <w:lvlText w:val="%1."/>
      <w:lvlJc w:val="left"/>
      <w:pPr/>
      <w:rPr>
        <w:rFonts w:ascii="Times New Roman" w:hAnsi="Times New Roman" w:cs="Times New Roman"/>
        <w:b/>
        <w:bCs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1">
      <w:start w:val="4"/>
      <w:numFmt w:val="decimal"/>
      <w:isLgl w:val="false"/>
      <w:suff w:val="tab"/>
      <w:lvlText w:val="%1."/>
      <w:lvlJc w:val="left"/>
      <w:pPr/>
      <w:rPr>
        <w:rFonts w:ascii="Times New Roman" w:hAnsi="Times New Roman" w:cs="Times New Roman"/>
        <w:b/>
        <w:bCs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2">
      <w:start w:val="4"/>
      <w:numFmt w:val="decimal"/>
      <w:isLgl w:val="false"/>
      <w:suff w:val="tab"/>
      <w:lvlText w:val="%1."/>
      <w:lvlJc w:val="left"/>
      <w:pPr/>
      <w:rPr>
        <w:rFonts w:ascii="Times New Roman" w:hAnsi="Times New Roman" w:cs="Times New Roman"/>
        <w:b/>
        <w:bCs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3">
      <w:start w:val="4"/>
      <w:numFmt w:val="decimal"/>
      <w:isLgl w:val="false"/>
      <w:suff w:val="tab"/>
      <w:lvlText w:val="%1."/>
      <w:lvlJc w:val="left"/>
      <w:pPr/>
      <w:rPr>
        <w:rFonts w:ascii="Times New Roman" w:hAnsi="Times New Roman" w:cs="Times New Roman"/>
        <w:b/>
        <w:bCs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4">
      <w:start w:val="4"/>
      <w:numFmt w:val="decimal"/>
      <w:isLgl w:val="false"/>
      <w:suff w:val="tab"/>
      <w:lvlText w:val="%1."/>
      <w:lvlJc w:val="left"/>
      <w:pPr/>
      <w:rPr>
        <w:rFonts w:ascii="Times New Roman" w:hAnsi="Times New Roman" w:cs="Times New Roman"/>
        <w:b/>
        <w:bCs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5">
      <w:start w:val="4"/>
      <w:numFmt w:val="decimal"/>
      <w:isLgl w:val="false"/>
      <w:suff w:val="tab"/>
      <w:lvlText w:val="%1."/>
      <w:lvlJc w:val="left"/>
      <w:pPr/>
      <w:rPr>
        <w:rFonts w:ascii="Times New Roman" w:hAnsi="Times New Roman" w:cs="Times New Roman"/>
        <w:b/>
        <w:bCs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6">
      <w:start w:val="4"/>
      <w:numFmt w:val="decimal"/>
      <w:isLgl w:val="false"/>
      <w:suff w:val="tab"/>
      <w:lvlText w:val="%1."/>
      <w:lvlJc w:val="left"/>
      <w:pPr/>
      <w:rPr>
        <w:rFonts w:ascii="Times New Roman" w:hAnsi="Times New Roman" w:cs="Times New Roman"/>
        <w:b/>
        <w:bCs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7">
      <w:start w:val="4"/>
      <w:numFmt w:val="decimal"/>
      <w:isLgl w:val="false"/>
      <w:suff w:val="tab"/>
      <w:lvlText w:val="%1."/>
      <w:lvlJc w:val="left"/>
      <w:pPr/>
      <w:rPr>
        <w:rFonts w:ascii="Times New Roman" w:hAnsi="Times New Roman" w:cs="Times New Roman"/>
        <w:b/>
        <w:bCs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8">
      <w:start w:val="4"/>
      <w:numFmt w:val="decimal"/>
      <w:isLgl w:val="false"/>
      <w:suff w:val="tab"/>
      <w:lvlText w:val="%1."/>
      <w:lvlJc w:val="left"/>
      <w:pPr/>
      <w:rPr>
        <w:rFonts w:ascii="Times New Roman" w:hAnsi="Times New Roman" w:cs="Times New Roman"/>
        <w:b/>
        <w:bCs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/>
      <w:rPr>
        <w:rFonts w:ascii="Symbol" w:hAnsi="Symbol" w:hint="default"/>
        <w:b/>
        <w:bCs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2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3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4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5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6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7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8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/>
      <w:rPr>
        <w:rFonts w:ascii="Symbol" w:hAnsi="Symbol" w:hint="default"/>
        <w:b/>
        <w:bCs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1">
      <w:start w:val="1"/>
      <w:numFmt w:val="bullet"/>
      <w:isLgl w:val="false"/>
      <w:suff w:val="tab"/>
      <w:lvlText w:val=""/>
      <w:lvlJc w:val="left"/>
      <w:pPr/>
      <w:rPr>
        <w:rFonts w:ascii="Symbol" w:hAnsi="Symbol" w:hint="default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2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3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4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5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6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7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8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cs="Times New Roman"/>
        <w:b/>
        <w:bCs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2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3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4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5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6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7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8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sz w:val="22"/>
        <w:szCs w:val="22"/>
        <w:lang w:val="ru-RU" w:bidi="ar-SA" w:eastAsia="en-US"/>
      </w:rPr>
    </w:rPrDefault>
    <w:pPrDefault>
      <w:pPr>
        <w:spacing w:lineRule="auto" w:line="259" w:after="16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0">
    <w:name w:val="Heading 1"/>
    <w:basedOn w:val="824"/>
    <w:next w:val="824"/>
    <w:link w:val="651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51">
    <w:name w:val="Heading 1 Char"/>
    <w:basedOn w:val="825"/>
    <w:link w:val="650"/>
    <w:uiPriority w:val="9"/>
    <w:rPr>
      <w:rFonts w:ascii="Arial" w:hAnsi="Arial" w:cs="Arial" w:eastAsia="Arial"/>
      <w:sz w:val="40"/>
      <w:szCs w:val="40"/>
    </w:rPr>
  </w:style>
  <w:style w:type="paragraph" w:styleId="652">
    <w:name w:val="Heading 2"/>
    <w:basedOn w:val="824"/>
    <w:next w:val="824"/>
    <w:link w:val="653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53">
    <w:name w:val="Heading 2 Char"/>
    <w:basedOn w:val="825"/>
    <w:link w:val="652"/>
    <w:uiPriority w:val="9"/>
    <w:rPr>
      <w:rFonts w:ascii="Arial" w:hAnsi="Arial" w:cs="Arial" w:eastAsia="Arial"/>
      <w:sz w:val="34"/>
    </w:rPr>
  </w:style>
  <w:style w:type="paragraph" w:styleId="654">
    <w:name w:val="Heading 3"/>
    <w:basedOn w:val="824"/>
    <w:next w:val="824"/>
    <w:link w:val="655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55">
    <w:name w:val="Heading 3 Char"/>
    <w:basedOn w:val="825"/>
    <w:link w:val="654"/>
    <w:uiPriority w:val="9"/>
    <w:rPr>
      <w:rFonts w:ascii="Arial" w:hAnsi="Arial" w:cs="Arial" w:eastAsia="Arial"/>
      <w:sz w:val="30"/>
      <w:szCs w:val="30"/>
    </w:rPr>
  </w:style>
  <w:style w:type="paragraph" w:styleId="656">
    <w:name w:val="Heading 4"/>
    <w:basedOn w:val="824"/>
    <w:next w:val="824"/>
    <w:link w:val="657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57">
    <w:name w:val="Heading 4 Char"/>
    <w:basedOn w:val="825"/>
    <w:link w:val="656"/>
    <w:uiPriority w:val="9"/>
    <w:rPr>
      <w:rFonts w:ascii="Arial" w:hAnsi="Arial" w:cs="Arial" w:eastAsia="Arial"/>
      <w:b/>
      <w:bCs/>
      <w:sz w:val="26"/>
      <w:szCs w:val="26"/>
    </w:rPr>
  </w:style>
  <w:style w:type="paragraph" w:styleId="658">
    <w:name w:val="Heading 5"/>
    <w:basedOn w:val="824"/>
    <w:next w:val="824"/>
    <w:link w:val="659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59">
    <w:name w:val="Heading 5 Char"/>
    <w:basedOn w:val="825"/>
    <w:link w:val="658"/>
    <w:uiPriority w:val="9"/>
    <w:rPr>
      <w:rFonts w:ascii="Arial" w:hAnsi="Arial" w:cs="Arial" w:eastAsia="Arial"/>
      <w:b/>
      <w:bCs/>
      <w:sz w:val="24"/>
      <w:szCs w:val="24"/>
    </w:rPr>
  </w:style>
  <w:style w:type="paragraph" w:styleId="660">
    <w:name w:val="Heading 6"/>
    <w:basedOn w:val="824"/>
    <w:next w:val="824"/>
    <w:link w:val="661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61">
    <w:name w:val="Heading 6 Char"/>
    <w:basedOn w:val="825"/>
    <w:link w:val="660"/>
    <w:uiPriority w:val="9"/>
    <w:rPr>
      <w:rFonts w:ascii="Arial" w:hAnsi="Arial" w:cs="Arial" w:eastAsia="Arial"/>
      <w:b/>
      <w:bCs/>
      <w:sz w:val="22"/>
      <w:szCs w:val="22"/>
    </w:rPr>
  </w:style>
  <w:style w:type="paragraph" w:styleId="662">
    <w:name w:val="Heading 7"/>
    <w:basedOn w:val="824"/>
    <w:next w:val="824"/>
    <w:link w:val="663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63">
    <w:name w:val="Heading 7 Char"/>
    <w:basedOn w:val="825"/>
    <w:link w:val="662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64">
    <w:name w:val="Heading 8"/>
    <w:basedOn w:val="824"/>
    <w:next w:val="824"/>
    <w:link w:val="665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65">
    <w:name w:val="Heading 8 Char"/>
    <w:basedOn w:val="825"/>
    <w:link w:val="664"/>
    <w:uiPriority w:val="9"/>
    <w:rPr>
      <w:rFonts w:ascii="Arial" w:hAnsi="Arial" w:cs="Arial" w:eastAsia="Arial"/>
      <w:i/>
      <w:iCs/>
      <w:sz w:val="22"/>
      <w:szCs w:val="22"/>
    </w:rPr>
  </w:style>
  <w:style w:type="paragraph" w:styleId="666">
    <w:name w:val="Heading 9"/>
    <w:basedOn w:val="824"/>
    <w:next w:val="824"/>
    <w:link w:val="667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67">
    <w:name w:val="Heading 9 Char"/>
    <w:basedOn w:val="825"/>
    <w:link w:val="666"/>
    <w:uiPriority w:val="9"/>
    <w:rPr>
      <w:rFonts w:ascii="Arial" w:hAnsi="Arial" w:cs="Arial" w:eastAsia="Arial"/>
      <w:i/>
      <w:iCs/>
      <w:sz w:val="21"/>
      <w:szCs w:val="21"/>
    </w:rPr>
  </w:style>
  <w:style w:type="paragraph" w:styleId="668">
    <w:name w:val="Title"/>
    <w:basedOn w:val="824"/>
    <w:next w:val="824"/>
    <w:link w:val="669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69">
    <w:name w:val="Title Char"/>
    <w:basedOn w:val="825"/>
    <w:link w:val="668"/>
    <w:uiPriority w:val="10"/>
    <w:rPr>
      <w:sz w:val="48"/>
      <w:szCs w:val="48"/>
    </w:rPr>
  </w:style>
  <w:style w:type="paragraph" w:styleId="670">
    <w:name w:val="Subtitle"/>
    <w:basedOn w:val="824"/>
    <w:next w:val="824"/>
    <w:link w:val="671"/>
    <w:qFormat/>
    <w:uiPriority w:val="11"/>
    <w:rPr>
      <w:sz w:val="24"/>
      <w:szCs w:val="24"/>
    </w:rPr>
    <w:pPr>
      <w:spacing w:after="200" w:before="200"/>
    </w:pPr>
  </w:style>
  <w:style w:type="character" w:styleId="671">
    <w:name w:val="Subtitle Char"/>
    <w:basedOn w:val="825"/>
    <w:link w:val="670"/>
    <w:uiPriority w:val="11"/>
    <w:rPr>
      <w:sz w:val="24"/>
      <w:szCs w:val="24"/>
    </w:rPr>
  </w:style>
  <w:style w:type="paragraph" w:styleId="672">
    <w:name w:val="Quote"/>
    <w:basedOn w:val="824"/>
    <w:next w:val="824"/>
    <w:link w:val="673"/>
    <w:qFormat/>
    <w:uiPriority w:val="29"/>
    <w:rPr>
      <w:i/>
    </w:rPr>
    <w:pPr>
      <w:ind w:left="720" w:right="720"/>
    </w:pPr>
  </w:style>
  <w:style w:type="character" w:styleId="673">
    <w:name w:val="Quote Char"/>
    <w:link w:val="672"/>
    <w:uiPriority w:val="29"/>
    <w:rPr>
      <w:i/>
    </w:rPr>
  </w:style>
  <w:style w:type="paragraph" w:styleId="674">
    <w:name w:val="Intense Quote"/>
    <w:basedOn w:val="824"/>
    <w:next w:val="824"/>
    <w:link w:val="675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75">
    <w:name w:val="Intense Quote Char"/>
    <w:link w:val="674"/>
    <w:uiPriority w:val="30"/>
    <w:rPr>
      <w:i/>
    </w:rPr>
  </w:style>
  <w:style w:type="paragraph" w:styleId="676">
    <w:name w:val="Header"/>
    <w:basedOn w:val="824"/>
    <w:link w:val="677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677">
    <w:name w:val="Header Char"/>
    <w:basedOn w:val="825"/>
    <w:link w:val="676"/>
    <w:uiPriority w:val="99"/>
  </w:style>
  <w:style w:type="paragraph" w:styleId="678">
    <w:name w:val="Footer"/>
    <w:basedOn w:val="824"/>
    <w:link w:val="68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679">
    <w:name w:val="Footer Char"/>
    <w:basedOn w:val="825"/>
    <w:link w:val="678"/>
    <w:uiPriority w:val="99"/>
  </w:style>
  <w:style w:type="paragraph" w:styleId="680">
    <w:name w:val="Caption"/>
    <w:basedOn w:val="824"/>
    <w:next w:val="824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81">
    <w:name w:val="Caption Char"/>
    <w:basedOn w:val="680"/>
    <w:link w:val="678"/>
    <w:uiPriority w:val="99"/>
  </w:style>
  <w:style w:type="table" w:styleId="682">
    <w:name w:val="Table Grid"/>
    <w:basedOn w:val="826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3">
    <w:name w:val="Table Grid Light"/>
    <w:basedOn w:val="826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4">
    <w:name w:val="Plain Table 1"/>
    <w:basedOn w:val="826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5">
    <w:name w:val="Plain Table 2"/>
    <w:basedOn w:val="826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6">
    <w:name w:val="Plain Table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7">
    <w:name w:val="Plain Table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Plain Table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89">
    <w:name w:val="Grid Table 1 Light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97">
    <w:name w:val="Grid Table 2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98">
    <w:name w:val="Grid Table 2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99">
    <w:name w:val="Grid Table 2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00">
    <w:name w:val="Grid Table 2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01">
    <w:name w:val="Grid Table 2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02">
    <w:name w:val="Grid Table 2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03">
    <w:name w:val="Grid Table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4">
    <w:name w:val="Grid Table 3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5">
    <w:name w:val="Grid Table 3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6">
    <w:name w:val="Grid Table 3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7">
    <w:name w:val="Grid Table 3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8">
    <w:name w:val="Grid Table 3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9">
    <w:name w:val="Grid Table 3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0">
    <w:name w:val="Grid Table 4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11">
    <w:name w:val="Grid Table 4 - Accent 1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12">
    <w:name w:val="Grid Table 4 - Accent 2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13">
    <w:name w:val="Grid Table 4 - Accent 3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14">
    <w:name w:val="Grid Table 4 - Accent 4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15">
    <w:name w:val="Grid Table 4 - Accent 5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16">
    <w:name w:val="Grid Table 4 - Accent 6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17">
    <w:name w:val="Grid Table 5 Dark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718">
    <w:name w:val="Grid Table 5 Dark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719">
    <w:name w:val="Grid Table 5 Dark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720">
    <w:name w:val="Grid Table 5 Dark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721">
    <w:name w:val="Grid Table 5 Dark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722">
    <w:name w:val="Grid Table 5 Dark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723">
    <w:name w:val="Grid Table 5 Dark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724">
    <w:name w:val="Grid Table 6 Colorful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5">
    <w:name w:val="Grid Table 6 Colorful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6">
    <w:name w:val="Grid Table 6 Colorful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7">
    <w:name w:val="Grid Table 6 Colorful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8">
    <w:name w:val="Grid Table 6 Colorful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9">
    <w:name w:val="Grid Table 6 Colorful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0">
    <w:name w:val="Grid Table 6 Colorful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1">
    <w:name w:val="Grid Table 7 Colorful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Grid Table 7 Colorful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Grid Table 7 Colorful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Grid Table 7 Colorful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Grid Table 7 Colorful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Grid Table 7 Colorful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Grid Table 7 Colorful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List Table 1 Light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List Table 1 Light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40">
    <w:name w:val="List Table 1 Light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41">
    <w:name w:val="List Table 1 Light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42">
    <w:name w:val="List Table 1 Light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43">
    <w:name w:val="List Table 1 Light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44">
    <w:name w:val="List Table 1 Light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45">
    <w:name w:val="List Table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46">
    <w:name w:val="List Table 2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47">
    <w:name w:val="List Table 2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48">
    <w:name w:val="List Table 2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49">
    <w:name w:val="List Table 2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50">
    <w:name w:val="List Table 2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51">
    <w:name w:val="List Table 2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52">
    <w:name w:val="List Table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5 Dark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6 Colorful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74">
    <w:name w:val="List Table 6 Colorful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75">
    <w:name w:val="List Table 6 Colorful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76">
    <w:name w:val="List Table 6 Colorful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77">
    <w:name w:val="List Table 6 Colorful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78">
    <w:name w:val="List Table 6 Colorful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79">
    <w:name w:val="List Table 6 Colorful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80">
    <w:name w:val="List Table 7 Colorful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1">
    <w:name w:val="List Table 7 Colorful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2">
    <w:name w:val="List Table 7 Colorful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3">
    <w:name w:val="List Table 7 Colorful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4">
    <w:name w:val="List Table 7 Colorful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5">
    <w:name w:val="List Table 7 Colorful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86">
    <w:name w:val="List Table 7 Colorful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87">
    <w:name w:val="Lined - Accent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88">
    <w:name w:val="Lined - Accent 1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89">
    <w:name w:val="Lined - Accent 2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90">
    <w:name w:val="Lined - Accent 3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91">
    <w:name w:val="Lined - Accent 4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92">
    <w:name w:val="Lined - Accent 5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93">
    <w:name w:val="Lined - Accent 6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94">
    <w:name w:val="Bordered &amp; Lined - Accent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95">
    <w:name w:val="Bordered &amp; Lined - Accent 1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96">
    <w:name w:val="Bordered &amp; Lined - Accent 2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97">
    <w:name w:val="Bordered &amp; Lined - Accent 3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98">
    <w:name w:val="Bordered &amp; Lined - Accent 4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99">
    <w:name w:val="Bordered &amp; Lined - Accent 5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800">
    <w:name w:val="Bordered &amp; Lined - Accent 6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801">
    <w:name w:val="Bordered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02">
    <w:name w:val="Bordered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03">
    <w:name w:val="Bordered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04">
    <w:name w:val="Bordered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05">
    <w:name w:val="Bordered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06">
    <w:name w:val="Bordered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07">
    <w:name w:val="Bordered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08">
    <w:name w:val="Hyperlink"/>
    <w:uiPriority w:val="99"/>
    <w:unhideWhenUsed/>
    <w:rPr>
      <w:color w:val="0000FF" w:themeColor="hyperlink"/>
      <w:u w:val="single"/>
    </w:rPr>
  </w:style>
  <w:style w:type="character" w:styleId="809">
    <w:name w:val="Footnote Text Char"/>
    <w:link w:val="845"/>
    <w:uiPriority w:val="99"/>
    <w:rPr>
      <w:sz w:val="18"/>
    </w:rPr>
  </w:style>
  <w:style w:type="paragraph" w:styleId="810">
    <w:name w:val="endnote text"/>
    <w:basedOn w:val="824"/>
    <w:link w:val="811"/>
    <w:uiPriority w:val="99"/>
    <w:semiHidden/>
    <w:unhideWhenUsed/>
    <w:rPr>
      <w:sz w:val="20"/>
    </w:rPr>
    <w:pPr>
      <w:spacing w:lineRule="auto" w:line="240" w:after="0"/>
    </w:pPr>
  </w:style>
  <w:style w:type="character" w:styleId="811">
    <w:name w:val="Endnote Text Char"/>
    <w:link w:val="810"/>
    <w:uiPriority w:val="99"/>
    <w:rPr>
      <w:sz w:val="20"/>
    </w:rPr>
  </w:style>
  <w:style w:type="character" w:styleId="812">
    <w:name w:val="endnote reference"/>
    <w:basedOn w:val="825"/>
    <w:uiPriority w:val="99"/>
    <w:semiHidden/>
    <w:unhideWhenUsed/>
    <w:rPr>
      <w:vertAlign w:val="superscript"/>
    </w:rPr>
  </w:style>
  <w:style w:type="paragraph" w:styleId="813">
    <w:name w:val="toc 1"/>
    <w:basedOn w:val="824"/>
    <w:next w:val="824"/>
    <w:uiPriority w:val="39"/>
    <w:unhideWhenUsed/>
    <w:pPr>
      <w:ind w:left="0" w:right="0" w:firstLine="0"/>
      <w:spacing w:after="57"/>
    </w:pPr>
  </w:style>
  <w:style w:type="paragraph" w:styleId="814">
    <w:name w:val="toc 2"/>
    <w:basedOn w:val="824"/>
    <w:next w:val="824"/>
    <w:uiPriority w:val="39"/>
    <w:unhideWhenUsed/>
    <w:pPr>
      <w:ind w:left="283" w:right="0" w:firstLine="0"/>
      <w:spacing w:after="57"/>
    </w:pPr>
  </w:style>
  <w:style w:type="paragraph" w:styleId="815">
    <w:name w:val="toc 3"/>
    <w:basedOn w:val="824"/>
    <w:next w:val="824"/>
    <w:uiPriority w:val="39"/>
    <w:unhideWhenUsed/>
    <w:pPr>
      <w:ind w:left="567" w:right="0" w:firstLine="0"/>
      <w:spacing w:after="57"/>
    </w:pPr>
  </w:style>
  <w:style w:type="paragraph" w:styleId="816">
    <w:name w:val="toc 4"/>
    <w:basedOn w:val="824"/>
    <w:next w:val="824"/>
    <w:uiPriority w:val="39"/>
    <w:unhideWhenUsed/>
    <w:pPr>
      <w:ind w:left="850" w:right="0" w:firstLine="0"/>
      <w:spacing w:after="57"/>
    </w:pPr>
  </w:style>
  <w:style w:type="paragraph" w:styleId="817">
    <w:name w:val="toc 5"/>
    <w:basedOn w:val="824"/>
    <w:next w:val="824"/>
    <w:uiPriority w:val="39"/>
    <w:unhideWhenUsed/>
    <w:pPr>
      <w:ind w:left="1134" w:right="0" w:firstLine="0"/>
      <w:spacing w:after="57"/>
    </w:pPr>
  </w:style>
  <w:style w:type="paragraph" w:styleId="818">
    <w:name w:val="toc 6"/>
    <w:basedOn w:val="824"/>
    <w:next w:val="824"/>
    <w:uiPriority w:val="39"/>
    <w:unhideWhenUsed/>
    <w:pPr>
      <w:ind w:left="1417" w:right="0" w:firstLine="0"/>
      <w:spacing w:after="57"/>
    </w:pPr>
  </w:style>
  <w:style w:type="paragraph" w:styleId="819">
    <w:name w:val="toc 7"/>
    <w:basedOn w:val="824"/>
    <w:next w:val="824"/>
    <w:uiPriority w:val="39"/>
    <w:unhideWhenUsed/>
    <w:pPr>
      <w:ind w:left="1701" w:right="0" w:firstLine="0"/>
      <w:spacing w:after="57"/>
    </w:pPr>
  </w:style>
  <w:style w:type="paragraph" w:styleId="820">
    <w:name w:val="toc 8"/>
    <w:basedOn w:val="824"/>
    <w:next w:val="824"/>
    <w:uiPriority w:val="39"/>
    <w:unhideWhenUsed/>
    <w:pPr>
      <w:ind w:left="1984" w:right="0" w:firstLine="0"/>
      <w:spacing w:after="57"/>
    </w:pPr>
  </w:style>
  <w:style w:type="paragraph" w:styleId="821">
    <w:name w:val="toc 9"/>
    <w:basedOn w:val="824"/>
    <w:next w:val="824"/>
    <w:uiPriority w:val="39"/>
    <w:unhideWhenUsed/>
    <w:pPr>
      <w:ind w:left="2268" w:right="0" w:firstLine="0"/>
      <w:spacing w:after="57"/>
    </w:pPr>
  </w:style>
  <w:style w:type="paragraph" w:styleId="822">
    <w:name w:val="TOC Heading"/>
    <w:uiPriority w:val="39"/>
    <w:unhideWhenUsed/>
  </w:style>
  <w:style w:type="paragraph" w:styleId="823">
    <w:name w:val="table of figures"/>
    <w:basedOn w:val="824"/>
    <w:next w:val="824"/>
    <w:uiPriority w:val="99"/>
    <w:unhideWhenUsed/>
    <w:pPr>
      <w:spacing w:after="0" w:afterAutospacing="0"/>
    </w:pPr>
  </w:style>
  <w:style w:type="paragraph" w:styleId="824" w:default="1">
    <w:name w:val="Normal"/>
    <w:qFormat/>
  </w:style>
  <w:style w:type="character" w:styleId="825" w:default="1">
    <w:name w:val="Default Paragraph Font"/>
    <w:uiPriority w:val="1"/>
    <w:semiHidden/>
    <w:unhideWhenUsed/>
  </w:style>
  <w:style w:type="table" w:styleId="82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7" w:default="1">
    <w:name w:val="No List"/>
    <w:uiPriority w:val="99"/>
    <w:semiHidden/>
    <w:unhideWhenUsed/>
  </w:style>
  <w:style w:type="character" w:styleId="828" w:customStyle="1">
    <w:name w:val="Основной текст (2)_"/>
    <w:basedOn w:val="825"/>
    <w:link w:val="832"/>
    <w:uiPriority w:val="99"/>
    <w:rPr>
      <w:rFonts w:ascii="Times New Roman" w:hAnsi="Times New Roman" w:cs="Times New Roman"/>
      <w:shd w:val="clear" w:fill="FFFFFF" w:color="FFFFFF"/>
    </w:rPr>
  </w:style>
  <w:style w:type="character" w:styleId="829" w:customStyle="1">
    <w:name w:val="Заголовок №1_"/>
    <w:basedOn w:val="825"/>
    <w:link w:val="833"/>
    <w:uiPriority w:val="99"/>
    <w:rPr>
      <w:rFonts w:ascii="Times New Roman" w:hAnsi="Times New Roman" w:cs="Times New Roman"/>
      <w:b/>
      <w:bCs/>
      <w:shd w:val="clear" w:fill="FFFFFF" w:color="FFFFFF"/>
    </w:rPr>
  </w:style>
  <w:style w:type="character" w:styleId="830" w:customStyle="1">
    <w:name w:val="Основной текст (3)_"/>
    <w:basedOn w:val="825"/>
    <w:link w:val="834"/>
    <w:uiPriority w:val="99"/>
    <w:rPr>
      <w:rFonts w:ascii="Times New Roman" w:hAnsi="Times New Roman" w:cs="Times New Roman"/>
      <w:b/>
      <w:bCs/>
      <w:shd w:val="clear" w:fill="FFFFFF" w:color="FFFFFF"/>
    </w:rPr>
  </w:style>
  <w:style w:type="character" w:styleId="831" w:customStyle="1">
    <w:name w:val="Основной текст (2) + Полужирный"/>
    <w:basedOn w:val="828"/>
    <w:uiPriority w:val="99"/>
    <w:rPr>
      <w:rFonts w:ascii="Times New Roman" w:hAnsi="Times New Roman" w:cs="Times New Roman"/>
      <w:b/>
      <w:bCs/>
      <w:shd w:val="clear" w:fill="FFFFFF" w:color="FFFFFF"/>
    </w:rPr>
  </w:style>
  <w:style w:type="paragraph" w:styleId="832" w:customStyle="1">
    <w:name w:val="Основной текст (2)"/>
    <w:basedOn w:val="824"/>
    <w:link w:val="828"/>
    <w:uiPriority w:val="99"/>
    <w:rPr>
      <w:rFonts w:ascii="Times New Roman" w:hAnsi="Times New Roman" w:cs="Times New Roman"/>
    </w:rPr>
    <w:pPr>
      <w:spacing w:lineRule="exact" w:line="336" w:after="0"/>
      <w:shd w:val="clear" w:fill="FFFFFF" w:color="FFFFFF"/>
    </w:pPr>
  </w:style>
  <w:style w:type="paragraph" w:styleId="833" w:customStyle="1">
    <w:name w:val="Заголовок №1"/>
    <w:basedOn w:val="824"/>
    <w:link w:val="829"/>
    <w:uiPriority w:val="99"/>
    <w:rPr>
      <w:rFonts w:ascii="Times New Roman" w:hAnsi="Times New Roman" w:cs="Times New Roman"/>
      <w:b/>
      <w:bCs/>
    </w:rPr>
    <w:pPr>
      <w:spacing w:lineRule="exact" w:line="244" w:after="0"/>
      <w:shd w:val="clear" w:fill="FFFFFF" w:color="FFFFFF"/>
      <w:outlineLvl w:val="0"/>
    </w:pPr>
  </w:style>
  <w:style w:type="paragraph" w:styleId="834" w:customStyle="1">
    <w:name w:val="Основной текст (3)"/>
    <w:basedOn w:val="824"/>
    <w:link w:val="830"/>
    <w:uiPriority w:val="99"/>
    <w:rPr>
      <w:rFonts w:ascii="Times New Roman" w:hAnsi="Times New Roman" w:cs="Times New Roman"/>
      <w:b/>
      <w:bCs/>
    </w:rPr>
    <w:pPr>
      <w:ind w:firstLine="700"/>
      <w:jc w:val="both"/>
      <w:spacing w:lineRule="exact" w:line="244" w:after="0"/>
      <w:shd w:val="clear" w:fill="FFFFFF" w:color="FFFFFF"/>
    </w:pPr>
  </w:style>
  <w:style w:type="character" w:styleId="835" w:customStyle="1">
    <w:name w:val="Заголовок №1 (2)_"/>
    <w:basedOn w:val="825"/>
    <w:link w:val="837"/>
    <w:uiPriority w:val="99"/>
    <w:rPr>
      <w:rFonts w:ascii="Times New Roman" w:hAnsi="Times New Roman" w:cs="Times New Roman"/>
      <w:b/>
      <w:bCs/>
      <w:shd w:val="clear" w:fill="FFFFFF" w:color="FFFFFF"/>
    </w:rPr>
  </w:style>
  <w:style w:type="character" w:styleId="836" w:customStyle="1">
    <w:name w:val="Заголовок №1 (2)"/>
    <w:basedOn w:val="835"/>
    <w:uiPriority w:val="99"/>
    <w:rPr>
      <w:rFonts w:ascii="Times New Roman" w:hAnsi="Times New Roman" w:cs="Times New Roman"/>
      <w:b/>
      <w:bCs/>
      <w:u w:val="single"/>
      <w:shd w:val="clear" w:fill="FFFFFF" w:color="FFFFFF"/>
    </w:rPr>
  </w:style>
  <w:style w:type="paragraph" w:styleId="837" w:customStyle="1">
    <w:name w:val="Заголовок №1 (2)1"/>
    <w:basedOn w:val="824"/>
    <w:link w:val="835"/>
    <w:uiPriority w:val="99"/>
    <w:rPr>
      <w:rFonts w:ascii="Times New Roman" w:hAnsi="Times New Roman" w:cs="Times New Roman"/>
      <w:b/>
      <w:bCs/>
    </w:rPr>
    <w:pPr>
      <w:jc w:val="both"/>
      <w:spacing w:lineRule="exact" w:line="278" w:after="0"/>
      <w:shd w:val="clear" w:fill="FFFFFF" w:color="FFFFFF"/>
      <w:outlineLvl w:val="0"/>
    </w:pPr>
  </w:style>
  <w:style w:type="paragraph" w:styleId="838">
    <w:name w:val="List Paragraph"/>
    <w:basedOn w:val="824"/>
    <w:link w:val="842"/>
    <w:qFormat/>
    <w:uiPriority w:val="34"/>
    <w:pPr>
      <w:contextualSpacing w:val="true"/>
      <w:ind w:left="720"/>
    </w:pPr>
  </w:style>
  <w:style w:type="paragraph" w:styleId="839">
    <w:name w:val="No Spacing"/>
    <w:qFormat/>
    <w:uiPriority w:val="1"/>
    <w:rPr>
      <w:rFonts w:ascii="Times New Roman" w:hAnsi="Times New Roman" w:cs="Times New Roman" w:eastAsia="Times New Roman"/>
      <w:sz w:val="28"/>
      <w:szCs w:val="28"/>
      <w:lang w:eastAsia="ru-RU"/>
    </w:rPr>
    <w:pPr>
      <w:ind w:firstLine="567"/>
      <w:jc w:val="both"/>
      <w:spacing w:lineRule="auto" w:line="240" w:after="0"/>
    </w:pPr>
  </w:style>
  <w:style w:type="paragraph" w:styleId="840">
    <w:name w:val="Balloon Text"/>
    <w:basedOn w:val="824"/>
    <w:link w:val="841"/>
    <w:uiPriority w:val="99"/>
    <w:semiHidden/>
    <w:unhideWhenUsed/>
    <w:rPr>
      <w:rFonts w:ascii="Segoe UI" w:hAnsi="Segoe UI" w:cs="Segoe UI"/>
      <w:sz w:val="18"/>
      <w:szCs w:val="18"/>
    </w:rPr>
    <w:pPr>
      <w:spacing w:lineRule="auto" w:line="240" w:after="0"/>
    </w:pPr>
  </w:style>
  <w:style w:type="character" w:styleId="841" w:customStyle="1">
    <w:name w:val="Текст выноски Знак"/>
    <w:basedOn w:val="825"/>
    <w:link w:val="840"/>
    <w:uiPriority w:val="99"/>
    <w:semiHidden/>
    <w:rPr>
      <w:rFonts w:ascii="Segoe UI" w:hAnsi="Segoe UI" w:cs="Segoe UI"/>
      <w:sz w:val="18"/>
      <w:szCs w:val="18"/>
    </w:rPr>
  </w:style>
  <w:style w:type="character" w:styleId="842" w:customStyle="1">
    <w:name w:val="Абзац списка Знак"/>
    <w:link w:val="838"/>
    <w:qFormat/>
    <w:uiPriority w:val="34"/>
  </w:style>
  <w:style w:type="paragraph" w:styleId="843">
    <w:name w:val="Plain Text"/>
    <w:basedOn w:val="824"/>
    <w:link w:val="844"/>
    <w:uiPriority w:val="99"/>
    <w:unhideWhenUsed/>
    <w:rPr>
      <w:rFonts w:ascii="Calibri" w:hAnsi="Calibri" w:cs="Times New Roman" w:eastAsia="Calibri"/>
      <w:sz w:val="21"/>
      <w:szCs w:val="21"/>
    </w:rPr>
    <w:pPr>
      <w:spacing w:lineRule="auto" w:line="240" w:after="0"/>
    </w:pPr>
  </w:style>
  <w:style w:type="character" w:styleId="844" w:customStyle="1">
    <w:name w:val="Текст Знак"/>
    <w:basedOn w:val="825"/>
    <w:link w:val="843"/>
    <w:uiPriority w:val="99"/>
    <w:rPr>
      <w:rFonts w:ascii="Calibri" w:hAnsi="Calibri" w:cs="Times New Roman" w:eastAsia="Calibri"/>
      <w:sz w:val="21"/>
      <w:szCs w:val="21"/>
    </w:rPr>
  </w:style>
  <w:style w:type="paragraph" w:styleId="845">
    <w:name w:val="footnote text"/>
    <w:basedOn w:val="824"/>
    <w:link w:val="846"/>
    <w:uiPriority w:val="99"/>
    <w:unhideWhenUsed/>
    <w:rPr>
      <w:rFonts w:ascii="Calibri" w:hAnsi="Calibri" w:cs="Times New Roman" w:eastAsia="Calibri"/>
      <w:sz w:val="20"/>
      <w:szCs w:val="20"/>
      <w:lang w:eastAsia="ru-RU"/>
    </w:rPr>
    <w:pPr>
      <w:spacing w:lineRule="auto" w:line="240" w:after="0"/>
    </w:pPr>
  </w:style>
  <w:style w:type="character" w:styleId="846" w:customStyle="1">
    <w:name w:val="Текст сноски Знак"/>
    <w:basedOn w:val="825"/>
    <w:link w:val="845"/>
    <w:uiPriority w:val="99"/>
    <w:rPr>
      <w:rFonts w:ascii="Calibri" w:hAnsi="Calibri" w:cs="Times New Roman" w:eastAsia="Calibri"/>
      <w:sz w:val="20"/>
      <w:szCs w:val="20"/>
      <w:lang w:eastAsia="ru-RU"/>
    </w:rPr>
  </w:style>
  <w:style w:type="character" w:styleId="847">
    <w:name w:val="footnote reference"/>
    <w:uiPriority w:val="99"/>
    <w:unhideWhenUsed/>
    <w:rPr>
      <w:vertAlign w:val="superscript"/>
    </w:rPr>
  </w:style>
  <w:style w:type="paragraph" w:styleId="848">
    <w:name w:val="Обычный"/>
    <w:next w:val="659"/>
    <w:link w:val="659"/>
    <w:rPr>
      <w:rFonts w:ascii="Calibri" w:hAnsi="Calibri" w:cs="Times New Roman" w:eastAsia="Calibri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2"/>
      <w:highlight w:val="none"/>
      <w:u w:val="none"/>
      <w:vertAlign w:val="baseline"/>
      <w:rtl w:val="false"/>
      <w:cs w:val="false"/>
      <w:lang w:val="ru-RU" w:bidi="ar-SA" w:eastAsia="en-US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76" w:after="20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Company>MOESK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Демехина Ирина Николаевна</dc:creator>
  <cp:keywords/>
  <dc:description/>
  <cp:revision>52</cp:revision>
  <dcterms:created xsi:type="dcterms:W3CDTF">2025-08-29T10:36:00Z</dcterms:created>
  <dcterms:modified xsi:type="dcterms:W3CDTF">2026-01-22T07:00:35Z</dcterms:modified>
</cp:coreProperties>
</file>